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CE23969">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default" w:ascii="黑体" w:hAnsi="黑体" w:eastAsia="黑体" w:cs="黑体"/>
          <w:b/>
          <w:bCs/>
          <w:color w:val="auto"/>
          <w:kern w:val="2"/>
          <w:sz w:val="28"/>
          <w:szCs w:val="28"/>
          <w:lang w:eastAsia="zh-CN"/>
        </w:rPr>
      </w:pPr>
      <w:r>
        <w:rPr>
          <w:rFonts w:hint="default" w:ascii="黑体" w:hAnsi="黑体" w:eastAsia="黑体" w:cs="黑体"/>
          <w:b/>
          <w:bCs/>
          <w:color w:val="auto"/>
          <w:kern w:val="2"/>
          <w:sz w:val="28"/>
          <w:szCs w:val="28"/>
          <w:lang w:eastAsia="zh-CN"/>
        </w:rPr>
        <w:t>麸炒芡实配方颗粒</w:t>
      </w:r>
    </w:p>
    <w:p w14:paraId="0DC17758">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default" w:ascii="Times New Roman" w:hAnsi="Times New Roman" w:eastAsia="宋体" w:cs="Times New Roman"/>
          <w:color w:val="auto"/>
          <w:kern w:val="2"/>
          <w:sz w:val="24"/>
          <w:szCs w:val="24"/>
          <w:lang w:val="en-US" w:eastAsia="zh-CN"/>
        </w:rPr>
      </w:pPr>
      <w:r>
        <w:rPr>
          <w:rFonts w:hint="default" w:ascii="Times New Roman" w:hAnsi="Times New Roman" w:eastAsia="宋体" w:cs="Times New Roman"/>
          <w:color w:val="auto"/>
          <w:kern w:val="2"/>
          <w:sz w:val="24"/>
          <w:szCs w:val="24"/>
          <w:lang w:val="en-US" w:eastAsia="zh-CN"/>
        </w:rPr>
        <w:t>Fuchaoqianshi Peifangkeli</w:t>
      </w:r>
    </w:p>
    <w:p w14:paraId="0FF02FB8">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default" w:ascii="Times New Roman" w:hAnsi="Times New Roman" w:eastAsia="宋体" w:cs="Times New Roman"/>
          <w:color w:val="auto"/>
          <w:kern w:val="2"/>
          <w:sz w:val="24"/>
          <w:szCs w:val="24"/>
          <w:lang w:val="en-US" w:eastAsia="zh-CN"/>
        </w:rPr>
      </w:pPr>
    </w:p>
    <w:p w14:paraId="520C2ABB">
      <w:pPr>
        <w:keepNext w:val="0"/>
        <w:keepLines w:val="0"/>
        <w:pageBreakBefore w:val="0"/>
        <w:kinsoku/>
        <w:wordWrap/>
        <w:overflowPunct/>
        <w:topLinePunct w:val="0"/>
        <w:autoSpaceDE/>
        <w:autoSpaceDN/>
        <w:bidi w:val="0"/>
        <w:adjustRightInd/>
        <w:snapToGrid/>
        <w:ind w:firstLine="480"/>
        <w:jc w:val="both"/>
        <w:textAlignment w:val="auto"/>
        <w:rPr>
          <w:rFonts w:hint="default" w:ascii="Times New Roman" w:hAnsi="Times New Roman" w:eastAsia="宋体" w:cs="Times New Roman"/>
          <w:b/>
          <w:sz w:val="21"/>
          <w:szCs w:val="21"/>
        </w:rPr>
      </w:pPr>
      <w:r>
        <w:rPr>
          <w:rFonts w:hint="default" w:ascii="Times New Roman" w:hAnsi="Times New Roman" w:eastAsia="宋体" w:cs="Times New Roman"/>
          <w:sz w:val="21"/>
          <w:szCs w:val="21"/>
        </w:rPr>
        <w:t>【</w:t>
      </w:r>
      <w:r>
        <w:rPr>
          <w:rFonts w:hint="default" w:ascii="Times New Roman" w:hAnsi="Times New Roman" w:eastAsia="宋体" w:cs="Times New Roman"/>
          <w:b/>
          <w:sz w:val="21"/>
          <w:szCs w:val="21"/>
        </w:rPr>
        <w:t>来源</w:t>
      </w:r>
      <w:r>
        <w:rPr>
          <w:rFonts w:hint="default" w:ascii="Times New Roman" w:hAnsi="Times New Roman" w:eastAsia="宋体" w:cs="Times New Roman"/>
          <w:sz w:val="21"/>
          <w:szCs w:val="21"/>
        </w:rPr>
        <w:t>】 本品为睡莲科植物芡</w:t>
      </w:r>
      <w:r>
        <w:rPr>
          <w:rFonts w:hint="default" w:ascii="Times New Roman" w:hAnsi="Times New Roman" w:eastAsia="宋体" w:cs="Times New Roman"/>
          <w:i/>
          <w:iCs/>
          <w:sz w:val="21"/>
          <w:szCs w:val="21"/>
        </w:rPr>
        <w:t xml:space="preserve">Euryale ferox </w:t>
      </w:r>
      <w:r>
        <w:rPr>
          <w:rFonts w:hint="default" w:ascii="Times New Roman" w:hAnsi="Times New Roman" w:eastAsia="宋体" w:cs="Times New Roman"/>
          <w:sz w:val="21"/>
          <w:szCs w:val="21"/>
        </w:rPr>
        <w:t>Salisb.的干燥成熟种仁经炮制并按标准汤剂的主要质量指标加工制成的配方颗粒。</w:t>
      </w:r>
    </w:p>
    <w:p w14:paraId="37D037E1">
      <w:pPr>
        <w:keepNext w:val="0"/>
        <w:keepLines w:val="0"/>
        <w:pageBreakBefore w:val="0"/>
        <w:kinsoku/>
        <w:wordWrap/>
        <w:overflowPunct/>
        <w:topLinePunct w:val="0"/>
        <w:autoSpaceDE/>
        <w:autoSpaceDN/>
        <w:bidi w:val="0"/>
        <w:adjustRightInd/>
        <w:snapToGrid/>
        <w:ind w:firstLine="480"/>
        <w:jc w:val="both"/>
        <w:textAlignment w:val="auto"/>
        <w:rPr>
          <w:rFonts w:hint="default" w:ascii="Times New Roman" w:hAnsi="Times New Roman" w:eastAsia="宋体" w:cs="Times New Roman"/>
          <w:b/>
          <w:sz w:val="21"/>
          <w:szCs w:val="21"/>
        </w:rPr>
      </w:pPr>
      <w:r>
        <w:rPr>
          <w:rFonts w:hint="default" w:ascii="Times New Roman" w:hAnsi="Times New Roman" w:eastAsia="宋体" w:cs="Times New Roman"/>
          <w:sz w:val="21"/>
          <w:szCs w:val="21"/>
        </w:rPr>
        <w:t>【</w:t>
      </w:r>
      <w:r>
        <w:rPr>
          <w:rFonts w:hint="default" w:ascii="Times New Roman" w:hAnsi="Times New Roman" w:eastAsia="宋体" w:cs="Times New Roman"/>
          <w:b/>
          <w:sz w:val="21"/>
          <w:szCs w:val="21"/>
        </w:rPr>
        <w:t>制法</w:t>
      </w:r>
      <w:r>
        <w:rPr>
          <w:rFonts w:hint="default" w:ascii="Times New Roman" w:hAnsi="Times New Roman" w:eastAsia="宋体" w:cs="Times New Roman"/>
          <w:sz w:val="21"/>
          <w:szCs w:val="21"/>
        </w:rPr>
        <w:t>】 取麸炒芡实饮片12000g，加水煎煮，滤过，</w:t>
      </w:r>
      <w:r>
        <w:rPr>
          <w:rFonts w:hint="default" w:ascii="Times New Roman" w:hAnsi="Times New Roman" w:eastAsia="宋体" w:cs="Times New Roman"/>
          <w:color w:val="000000"/>
          <w:sz w:val="21"/>
          <w:szCs w:val="21"/>
        </w:rPr>
        <w:t>滤液浓缩成清膏（</w:t>
      </w:r>
      <w:r>
        <w:rPr>
          <w:rFonts w:hint="default" w:ascii="Times New Roman" w:hAnsi="Times New Roman" w:eastAsia="宋体" w:cs="Times New Roman"/>
          <w:sz w:val="21"/>
          <w:szCs w:val="21"/>
        </w:rPr>
        <w:t>干浸膏出膏率为4.4%</w:t>
      </w:r>
      <w:r>
        <w:rPr>
          <w:rFonts w:hint="default" w:ascii="Times New Roman" w:hAnsi="Times New Roman" w:eastAsia="宋体" w:cs="Times New Roman"/>
          <w:sz w:val="21"/>
          <w:szCs w:val="21"/>
        </w:rPr>
        <w:t>～</w:t>
      </w:r>
      <w:r>
        <w:rPr>
          <w:rFonts w:hint="default" w:ascii="Times New Roman" w:hAnsi="Times New Roman" w:eastAsia="宋体" w:cs="Times New Roman"/>
          <w:sz w:val="21"/>
          <w:szCs w:val="21"/>
        </w:rPr>
        <w:t>8.1%</w:t>
      </w:r>
      <w:r>
        <w:rPr>
          <w:rFonts w:hint="default" w:ascii="Times New Roman" w:hAnsi="Times New Roman" w:eastAsia="宋体" w:cs="Times New Roman"/>
          <w:color w:val="000000"/>
          <w:sz w:val="21"/>
          <w:szCs w:val="21"/>
        </w:rPr>
        <w:t>）</w:t>
      </w:r>
      <w:r>
        <w:rPr>
          <w:rFonts w:hint="default" w:ascii="Times New Roman" w:hAnsi="Times New Roman" w:eastAsia="宋体" w:cs="Times New Roman"/>
          <w:sz w:val="21"/>
          <w:szCs w:val="21"/>
        </w:rPr>
        <w:t>，</w:t>
      </w:r>
      <w:r>
        <w:rPr>
          <w:rFonts w:hint="default" w:ascii="Times New Roman" w:hAnsi="Times New Roman" w:eastAsia="宋体" w:cs="Times New Roman"/>
          <w:color w:val="000000"/>
          <w:sz w:val="21"/>
          <w:szCs w:val="21"/>
        </w:rPr>
        <w:t>干燥（或干燥，粉碎）</w:t>
      </w:r>
      <w:r>
        <w:rPr>
          <w:rFonts w:hint="default" w:ascii="Times New Roman" w:hAnsi="Times New Roman" w:eastAsia="宋体" w:cs="Times New Roman"/>
          <w:sz w:val="21"/>
          <w:szCs w:val="21"/>
        </w:rPr>
        <w:t>，加入辅料适量，混匀，制粒，制成1000g，即得。</w:t>
      </w:r>
    </w:p>
    <w:p w14:paraId="49FC7473">
      <w:pPr>
        <w:keepNext w:val="0"/>
        <w:keepLines w:val="0"/>
        <w:pageBreakBefore w:val="0"/>
        <w:kinsoku/>
        <w:wordWrap/>
        <w:overflowPunct/>
        <w:topLinePunct w:val="0"/>
        <w:autoSpaceDE/>
        <w:autoSpaceDN/>
        <w:bidi w:val="0"/>
        <w:adjustRightInd/>
        <w:snapToGrid/>
        <w:ind w:firstLine="480"/>
        <w:jc w:val="both"/>
        <w:textAlignment w:val="auto"/>
        <w:rPr>
          <w:rFonts w:hint="default" w:ascii="Times New Roman" w:hAnsi="Times New Roman" w:eastAsia="宋体" w:cs="Times New Roman"/>
          <w:b/>
          <w:sz w:val="21"/>
          <w:szCs w:val="21"/>
        </w:rPr>
      </w:pPr>
      <w:r>
        <w:rPr>
          <w:rFonts w:hint="default" w:ascii="Times New Roman" w:hAnsi="Times New Roman" w:eastAsia="宋体" w:cs="Times New Roman"/>
          <w:sz w:val="21"/>
          <w:szCs w:val="21"/>
        </w:rPr>
        <w:t>【</w:t>
      </w:r>
      <w:r>
        <w:rPr>
          <w:rFonts w:hint="default" w:ascii="Times New Roman" w:hAnsi="Times New Roman" w:eastAsia="宋体" w:cs="Times New Roman"/>
          <w:b/>
          <w:sz w:val="21"/>
          <w:szCs w:val="21"/>
        </w:rPr>
        <w:t>性状</w:t>
      </w:r>
      <w:r>
        <w:rPr>
          <w:rFonts w:hint="default" w:ascii="Times New Roman" w:hAnsi="Times New Roman" w:eastAsia="宋体" w:cs="Times New Roman"/>
          <w:sz w:val="21"/>
          <w:szCs w:val="21"/>
        </w:rPr>
        <w:t>】 本品为浅黄色至棕黄色的颗粒；味淡，微酸。</w:t>
      </w:r>
    </w:p>
    <w:p w14:paraId="750C4514">
      <w:pPr>
        <w:keepNext w:val="0"/>
        <w:keepLines w:val="0"/>
        <w:pageBreakBefore w:val="0"/>
        <w:kinsoku/>
        <w:wordWrap/>
        <w:overflowPunct/>
        <w:topLinePunct w:val="0"/>
        <w:autoSpaceDE/>
        <w:autoSpaceDN/>
        <w:bidi w:val="0"/>
        <w:adjustRightInd/>
        <w:snapToGrid/>
        <w:ind w:firstLine="480"/>
        <w:jc w:val="both"/>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w:t>
      </w:r>
      <w:r>
        <w:rPr>
          <w:rFonts w:hint="default" w:ascii="Times New Roman" w:hAnsi="Times New Roman" w:eastAsia="宋体" w:cs="Times New Roman"/>
          <w:b/>
          <w:sz w:val="21"/>
          <w:szCs w:val="21"/>
        </w:rPr>
        <w:t>鉴别</w:t>
      </w:r>
      <w:r>
        <w:rPr>
          <w:rFonts w:hint="default" w:ascii="Times New Roman" w:hAnsi="Times New Roman" w:eastAsia="宋体" w:cs="Times New Roman"/>
          <w:sz w:val="21"/>
          <w:szCs w:val="21"/>
        </w:rPr>
        <w:t>】 取本品2.0g，研细，加无水乙醇30ml，加热回流30分钟，滤过，滤液浓缩至2ml，作为供试品溶液。另取麸炒芡实对照药材12.0g，加水200ml，回流30分钟，离心(4000转20分钟)，取上清液转移至100ml锥形瓶中，减压浓缩至干，残渣加无水乙醇30ml，同法制成对照药材溶液。再取亚油酸、没食子酸对照品，加无水乙醇制成每1ml各含0.5mg和0.2mg的溶液，作为对照品溶液。照薄层色谱</w:t>
      </w:r>
      <w:r>
        <w:rPr>
          <w:rFonts w:hint="default" w:ascii="Times New Roman" w:hAnsi="Times New Roman" w:eastAsia="宋体" w:cs="Times New Roman"/>
          <w:sz w:val="21"/>
          <w:szCs w:val="21"/>
          <w:highlight w:val="none"/>
        </w:rPr>
        <w:t>法（中国药典2020年版通则0502）试</w:t>
      </w:r>
      <w:r>
        <w:rPr>
          <w:rFonts w:hint="default" w:ascii="Times New Roman" w:hAnsi="Times New Roman" w:eastAsia="宋体" w:cs="Times New Roman"/>
          <w:sz w:val="21"/>
          <w:szCs w:val="21"/>
        </w:rPr>
        <w:t>验，吸取上述供试品溶液10</w:t>
      </w:r>
      <w:r>
        <w:rPr>
          <w:rFonts w:hint="default" w:ascii="Times New Roman" w:hAnsi="Times New Roman" w:eastAsia="宋体" w:cs="Times New Roman"/>
          <w:kern w:val="0"/>
          <w:sz w:val="21"/>
          <w:szCs w:val="21"/>
          <w:lang w:bidi="ar"/>
        </w:rPr>
        <w:t>~15</w:t>
      </w:r>
      <w:r>
        <w:rPr>
          <w:rFonts w:hint="default" w:ascii="Times New Roman" w:hAnsi="Times New Roman" w:eastAsia="宋体" w:cs="Times New Roman"/>
          <w:sz w:val="21"/>
          <w:szCs w:val="21"/>
        </w:rPr>
        <w:t>µ</w:t>
      </w:r>
      <w:r>
        <w:rPr>
          <w:rFonts w:hint="default" w:ascii="Times New Roman" w:hAnsi="Times New Roman" w:eastAsia="宋体" w:cs="Times New Roman"/>
          <w:kern w:val="0"/>
          <w:sz w:val="21"/>
          <w:szCs w:val="21"/>
          <w:lang w:bidi="ar"/>
        </w:rPr>
        <w:t>l</w:t>
      </w:r>
      <w:r>
        <w:rPr>
          <w:rFonts w:hint="default" w:ascii="Times New Roman" w:hAnsi="Times New Roman" w:eastAsia="宋体" w:cs="Times New Roman"/>
          <w:sz w:val="21"/>
          <w:szCs w:val="21"/>
        </w:rPr>
        <w:t>、对照药材溶液</w:t>
      </w:r>
      <w:r>
        <w:rPr>
          <w:rFonts w:hint="default" w:ascii="Times New Roman" w:hAnsi="Times New Roman" w:eastAsia="宋体" w:cs="Times New Roman"/>
          <w:kern w:val="0"/>
          <w:sz w:val="21"/>
          <w:szCs w:val="21"/>
          <w:lang w:bidi="ar"/>
        </w:rPr>
        <w:t>15~20</w:t>
      </w:r>
      <w:r>
        <w:rPr>
          <w:rFonts w:hint="default" w:ascii="Times New Roman" w:hAnsi="Times New Roman" w:eastAsia="宋体" w:cs="Times New Roman"/>
          <w:sz w:val="21"/>
          <w:szCs w:val="21"/>
        </w:rPr>
        <w:t>µ</w:t>
      </w:r>
      <w:r>
        <w:rPr>
          <w:rFonts w:hint="default" w:ascii="Times New Roman" w:hAnsi="Times New Roman" w:eastAsia="宋体" w:cs="Times New Roman"/>
          <w:kern w:val="0"/>
          <w:sz w:val="21"/>
          <w:szCs w:val="21"/>
          <w:lang w:bidi="ar"/>
        </w:rPr>
        <w:t>l</w:t>
      </w:r>
      <w:r>
        <w:rPr>
          <w:rFonts w:hint="default" w:ascii="Times New Roman" w:hAnsi="Times New Roman" w:eastAsia="宋体" w:cs="Times New Roman"/>
          <w:sz w:val="21"/>
          <w:szCs w:val="21"/>
        </w:rPr>
        <w:t>，对照品溶液3</w:t>
      </w:r>
      <w:r>
        <w:rPr>
          <w:rFonts w:hint="default" w:ascii="Times New Roman" w:hAnsi="Times New Roman" w:eastAsia="宋体" w:cs="Times New Roman"/>
          <w:kern w:val="0"/>
          <w:sz w:val="21"/>
          <w:szCs w:val="21"/>
          <w:lang w:bidi="ar"/>
        </w:rPr>
        <w:t>~5</w:t>
      </w:r>
      <w:r>
        <w:rPr>
          <w:rFonts w:hint="default" w:ascii="Times New Roman" w:hAnsi="Times New Roman" w:eastAsia="宋体" w:cs="Times New Roman"/>
          <w:sz w:val="21"/>
          <w:szCs w:val="21"/>
        </w:rPr>
        <w:t>µ</w:t>
      </w:r>
      <w:r>
        <w:rPr>
          <w:rFonts w:hint="default" w:ascii="Times New Roman" w:hAnsi="Times New Roman" w:eastAsia="宋体" w:cs="Times New Roman"/>
          <w:kern w:val="0"/>
          <w:sz w:val="21"/>
          <w:szCs w:val="21"/>
          <w:lang w:bidi="ar"/>
        </w:rPr>
        <w:t>l</w:t>
      </w:r>
      <w:r>
        <w:rPr>
          <w:rFonts w:hint="default" w:ascii="Times New Roman" w:hAnsi="Times New Roman" w:eastAsia="宋体" w:cs="Times New Roman"/>
          <w:sz w:val="21"/>
          <w:szCs w:val="21"/>
        </w:rPr>
        <w:t>分别点于同一硅胶G薄层板上，以</w:t>
      </w:r>
      <w:r>
        <w:rPr>
          <w:rFonts w:hint="default" w:ascii="Times New Roman" w:hAnsi="Times New Roman" w:eastAsia="宋体" w:cs="Times New Roman"/>
          <w:sz w:val="21"/>
          <w:szCs w:val="21"/>
        </w:rPr>
        <w:t>三氯甲烷-甲酸乙酯-甲酸</w:t>
      </w:r>
      <w:r>
        <w:rPr>
          <w:rFonts w:hint="default" w:ascii="Times New Roman" w:hAnsi="Times New Roman" w:eastAsia="宋体" w:cs="Times New Roman"/>
          <w:color w:val="000000"/>
          <w:kern w:val="0"/>
          <w:sz w:val="21"/>
          <w:szCs w:val="21"/>
          <w:lang w:bidi="ar"/>
        </w:rPr>
        <w:t>（5</w:t>
      </w:r>
      <w:r>
        <w:rPr>
          <w:rFonts w:hint="eastAsia" w:cs="Times New Roman"/>
          <w:color w:val="000000"/>
          <w:kern w:val="0"/>
          <w:sz w:val="21"/>
          <w:szCs w:val="21"/>
          <w:lang w:eastAsia="zh-CN" w:bidi="ar"/>
        </w:rPr>
        <w:t>∶</w:t>
      </w:r>
      <w:r>
        <w:rPr>
          <w:rFonts w:hint="default" w:ascii="Times New Roman" w:hAnsi="Times New Roman" w:eastAsia="宋体" w:cs="Times New Roman"/>
          <w:color w:val="000000"/>
          <w:kern w:val="0"/>
          <w:sz w:val="21"/>
          <w:szCs w:val="21"/>
          <w:lang w:bidi="ar"/>
        </w:rPr>
        <w:t>5</w:t>
      </w:r>
      <w:r>
        <w:rPr>
          <w:rFonts w:hint="eastAsia" w:cs="Times New Roman"/>
          <w:color w:val="000000"/>
          <w:kern w:val="0"/>
          <w:sz w:val="21"/>
          <w:szCs w:val="21"/>
          <w:lang w:eastAsia="zh-CN" w:bidi="ar"/>
        </w:rPr>
        <w:t>∶</w:t>
      </w:r>
      <w:r>
        <w:rPr>
          <w:rFonts w:hint="default" w:ascii="Times New Roman" w:hAnsi="Times New Roman" w:eastAsia="宋体" w:cs="Times New Roman"/>
          <w:color w:val="000000"/>
          <w:kern w:val="0"/>
          <w:sz w:val="21"/>
          <w:szCs w:val="21"/>
          <w:lang w:bidi="ar"/>
        </w:rPr>
        <w:t>1）</w:t>
      </w:r>
      <w:r>
        <w:rPr>
          <w:rFonts w:hint="default" w:ascii="Times New Roman" w:hAnsi="Times New Roman" w:eastAsia="宋体" w:cs="Times New Roman"/>
          <w:sz w:val="21"/>
          <w:szCs w:val="21"/>
        </w:rPr>
        <w:t>为展开剂，展开，取出，晾干，</w:t>
      </w:r>
      <w:r>
        <w:rPr>
          <w:rFonts w:hint="default" w:ascii="Times New Roman" w:hAnsi="Times New Roman" w:eastAsia="宋体" w:cs="Times New Roman"/>
          <w:kern w:val="0"/>
          <w:sz w:val="21"/>
          <w:szCs w:val="21"/>
          <w:lang w:bidi="ar"/>
        </w:rPr>
        <w:t>喷以磷钼酸试液，在105℃加热1~3min至斑点显色清晰，</w:t>
      </w:r>
      <w:r>
        <w:rPr>
          <w:rFonts w:hint="default" w:ascii="Times New Roman" w:hAnsi="Times New Roman" w:eastAsia="宋体" w:cs="Times New Roman"/>
          <w:sz w:val="21"/>
          <w:szCs w:val="21"/>
        </w:rPr>
        <w:t>日光下检视。供试品色谱中，在与对照品、对照药材色谱相应的位置上，显相同颜色的斑点。</w:t>
      </w:r>
    </w:p>
    <w:p w14:paraId="51A7EBE8">
      <w:pPr>
        <w:keepNext w:val="0"/>
        <w:keepLines w:val="0"/>
        <w:pageBreakBefore w:val="0"/>
        <w:kinsoku/>
        <w:wordWrap/>
        <w:overflowPunct/>
        <w:topLinePunct w:val="0"/>
        <w:autoSpaceDE/>
        <w:autoSpaceDN/>
        <w:bidi w:val="0"/>
        <w:adjustRightInd/>
        <w:snapToGrid/>
        <w:ind w:firstLine="480"/>
        <w:jc w:val="both"/>
        <w:textAlignment w:val="auto"/>
        <w:rPr>
          <w:rFonts w:hint="default" w:ascii="Times New Roman" w:hAnsi="Times New Roman" w:eastAsia="宋体" w:cs="Times New Roman"/>
          <w:bCs/>
          <w:color w:val="000000"/>
          <w:sz w:val="21"/>
          <w:szCs w:val="21"/>
        </w:rPr>
      </w:pPr>
      <w:r>
        <w:rPr>
          <w:rFonts w:hint="default" w:ascii="Times New Roman" w:hAnsi="Times New Roman" w:eastAsia="宋体" w:cs="Times New Roman"/>
          <w:sz w:val="21"/>
          <w:szCs w:val="21"/>
        </w:rPr>
        <w:t>【</w:t>
      </w:r>
      <w:r>
        <w:rPr>
          <w:rFonts w:hint="default" w:ascii="Times New Roman" w:hAnsi="Times New Roman" w:eastAsia="宋体" w:cs="Times New Roman"/>
          <w:b/>
          <w:sz w:val="21"/>
          <w:szCs w:val="21"/>
        </w:rPr>
        <w:t>特征图谱</w:t>
      </w:r>
      <w:r>
        <w:rPr>
          <w:rFonts w:hint="default" w:ascii="Times New Roman" w:hAnsi="Times New Roman" w:eastAsia="宋体" w:cs="Times New Roman"/>
          <w:sz w:val="21"/>
          <w:szCs w:val="21"/>
        </w:rPr>
        <w:t xml:space="preserve">】 </w:t>
      </w:r>
      <w:r>
        <w:rPr>
          <w:rFonts w:hint="default" w:ascii="Times New Roman" w:hAnsi="Times New Roman" w:eastAsia="宋体" w:cs="Times New Roman"/>
          <w:bCs/>
          <w:color w:val="000000"/>
          <w:sz w:val="21"/>
          <w:szCs w:val="21"/>
        </w:rPr>
        <w:t>照高效液相色谱法（</w:t>
      </w:r>
      <w:r>
        <w:rPr>
          <w:rFonts w:hint="default" w:ascii="Times New Roman" w:hAnsi="Times New Roman" w:eastAsia="宋体" w:cs="Times New Roman"/>
          <w:sz w:val="21"/>
          <w:szCs w:val="21"/>
        </w:rPr>
        <w:t>中国药典</w:t>
      </w:r>
      <w:r>
        <w:rPr>
          <w:rFonts w:hint="default" w:ascii="Times New Roman" w:hAnsi="Times New Roman" w:eastAsia="宋体" w:cs="Times New Roman"/>
          <w:color w:val="000000"/>
          <w:sz w:val="21"/>
          <w:szCs w:val="21"/>
        </w:rPr>
        <w:t>2020</w:t>
      </w:r>
      <w:r>
        <w:rPr>
          <w:rFonts w:hint="default" w:ascii="Times New Roman" w:hAnsi="Times New Roman" w:eastAsia="宋体" w:cs="Times New Roman"/>
          <w:bCs/>
          <w:color w:val="000000"/>
          <w:sz w:val="21"/>
          <w:szCs w:val="21"/>
        </w:rPr>
        <w:t>年版通则</w:t>
      </w:r>
      <w:r>
        <w:rPr>
          <w:rFonts w:hint="default" w:ascii="Times New Roman" w:hAnsi="Times New Roman" w:eastAsia="宋体" w:cs="Times New Roman"/>
          <w:color w:val="000000"/>
          <w:sz w:val="21"/>
          <w:szCs w:val="21"/>
        </w:rPr>
        <w:t>0512</w:t>
      </w:r>
      <w:r>
        <w:rPr>
          <w:rFonts w:hint="default" w:ascii="Times New Roman" w:hAnsi="Times New Roman" w:eastAsia="宋体" w:cs="Times New Roman"/>
          <w:bCs/>
          <w:color w:val="000000"/>
          <w:sz w:val="21"/>
          <w:szCs w:val="21"/>
        </w:rPr>
        <w:t>）测定。</w:t>
      </w:r>
    </w:p>
    <w:p w14:paraId="32120B0F">
      <w:pPr>
        <w:keepNext w:val="0"/>
        <w:keepLines w:val="0"/>
        <w:pageBreakBefore w:val="0"/>
        <w:kinsoku/>
        <w:wordWrap/>
        <w:overflowPunct/>
        <w:topLinePunct w:val="0"/>
        <w:autoSpaceDE/>
        <w:autoSpaceDN/>
        <w:bidi w:val="0"/>
        <w:adjustRightInd/>
        <w:snapToGrid/>
        <w:ind w:firstLine="482"/>
        <w:jc w:val="both"/>
        <w:textAlignment w:val="auto"/>
        <w:rPr>
          <w:rFonts w:hint="default" w:ascii="Times New Roman" w:hAnsi="Times New Roman" w:eastAsia="宋体" w:cs="Times New Roman"/>
          <w:color w:val="000000"/>
          <w:sz w:val="21"/>
          <w:szCs w:val="21"/>
        </w:rPr>
      </w:pPr>
      <w:r>
        <w:rPr>
          <w:rFonts w:hint="default" w:ascii="Times New Roman" w:hAnsi="Times New Roman" w:eastAsia="宋体" w:cs="Times New Roman"/>
          <w:b/>
          <w:sz w:val="21"/>
          <w:szCs w:val="21"/>
        </w:rPr>
        <w:t>色谱条件与系统适应性试验</w:t>
      </w:r>
      <w:r>
        <w:rPr>
          <w:rFonts w:hint="eastAsia" w:cs="Times New Roman"/>
          <w:b/>
          <w:bCs/>
          <w:color w:val="000000"/>
          <w:kern w:val="0"/>
          <w:sz w:val="21"/>
          <w:szCs w:val="21"/>
          <w:lang w:val="en-US" w:eastAsia="zh-CN"/>
        </w:rPr>
        <w:t xml:space="preserve"> </w:t>
      </w:r>
      <w:r>
        <w:rPr>
          <w:rFonts w:hint="default" w:ascii="Times New Roman" w:hAnsi="Times New Roman" w:eastAsia="宋体" w:cs="Times New Roman"/>
          <w:color w:val="000000"/>
          <w:sz w:val="21"/>
          <w:szCs w:val="21"/>
        </w:rPr>
        <w:t>以十八烷基硅烷键合硅胶为填充剂（柱长为150mm，内径为2.1mm，粒径为1.8μm）；以乙腈为流动相A，以0.2%磷酸为流动相B，按下表中的规定进行梯度洗脱；流速为</w:t>
      </w:r>
      <w:r>
        <w:rPr>
          <w:rFonts w:hint="eastAsia" w:cs="Times New Roman"/>
          <w:color w:val="000000"/>
          <w:sz w:val="21"/>
          <w:szCs w:val="21"/>
          <w:lang w:val="en-US" w:eastAsia="zh-CN"/>
        </w:rPr>
        <w:t>每分钟</w:t>
      </w:r>
      <w:r>
        <w:rPr>
          <w:rFonts w:hint="default" w:ascii="Times New Roman" w:hAnsi="Times New Roman" w:eastAsia="宋体" w:cs="Times New Roman"/>
          <w:color w:val="000000"/>
          <w:sz w:val="21"/>
          <w:szCs w:val="21"/>
        </w:rPr>
        <w:t>0.3ml；柱温为25℃；检测波长为310nm；理论板数按没食子酸峰计算应不低于5000。</w:t>
      </w:r>
    </w:p>
    <w:tbl>
      <w:tblPr>
        <w:tblStyle w:val="9"/>
        <w:tblW w:w="4789" w:type="pct"/>
        <w:jc w:val="center"/>
        <w:tblBorders>
          <w:top w:val="single" w:color="auto" w:sz="12" w:space="0"/>
          <w:left w:val="none" w:color="auto" w:sz="0" w:space="0"/>
          <w:bottom w:val="single" w:color="auto" w:sz="12"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720"/>
        <w:gridCol w:w="2721"/>
        <w:gridCol w:w="2721"/>
      </w:tblGrid>
      <w:tr w14:paraId="2A1AC884">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tblHeader/>
          <w:jc w:val="center"/>
        </w:trPr>
        <w:tc>
          <w:tcPr>
            <w:tcW w:w="1666" w:type="pct"/>
            <w:tcBorders>
              <w:top w:val="single" w:color="auto" w:sz="12" w:space="0"/>
              <w:bottom w:val="single" w:color="auto" w:sz="4" w:space="0"/>
            </w:tcBorders>
            <w:vAlign w:val="center"/>
          </w:tcPr>
          <w:p w14:paraId="793F07E0">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default" w:ascii="Times New Roman" w:hAnsi="Times New Roman" w:eastAsia="宋体" w:cs="Times New Roman"/>
                <w:sz w:val="18"/>
                <w:szCs w:val="18"/>
              </w:rPr>
            </w:pPr>
            <w:r>
              <w:rPr>
                <w:rFonts w:hint="default" w:ascii="Times New Roman" w:hAnsi="Times New Roman" w:eastAsia="宋体" w:cs="Times New Roman"/>
                <w:sz w:val="18"/>
                <w:szCs w:val="18"/>
              </w:rPr>
              <w:t>时间（分钟）</w:t>
            </w:r>
          </w:p>
        </w:tc>
        <w:tc>
          <w:tcPr>
            <w:tcW w:w="1666" w:type="pct"/>
            <w:tcBorders>
              <w:top w:val="single" w:color="auto" w:sz="12" w:space="0"/>
              <w:bottom w:val="single" w:color="auto" w:sz="4" w:space="0"/>
            </w:tcBorders>
            <w:vAlign w:val="center"/>
          </w:tcPr>
          <w:p w14:paraId="021E1CE2">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default" w:ascii="Times New Roman" w:hAnsi="Times New Roman" w:eastAsia="宋体" w:cs="Times New Roman"/>
                <w:sz w:val="18"/>
                <w:szCs w:val="18"/>
              </w:rPr>
            </w:pPr>
            <w:r>
              <w:rPr>
                <w:rFonts w:hint="default" w:ascii="Times New Roman" w:hAnsi="Times New Roman" w:eastAsia="宋体" w:cs="Times New Roman"/>
                <w:sz w:val="18"/>
                <w:szCs w:val="18"/>
              </w:rPr>
              <w:t>流动相A（%）</w:t>
            </w:r>
          </w:p>
        </w:tc>
        <w:tc>
          <w:tcPr>
            <w:tcW w:w="1666" w:type="pct"/>
            <w:tcBorders>
              <w:top w:val="single" w:color="auto" w:sz="12" w:space="0"/>
              <w:bottom w:val="single" w:color="auto" w:sz="4" w:space="0"/>
            </w:tcBorders>
            <w:vAlign w:val="center"/>
          </w:tcPr>
          <w:p w14:paraId="5846AAFE">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default" w:ascii="Times New Roman" w:hAnsi="Times New Roman" w:eastAsia="宋体" w:cs="Times New Roman"/>
                <w:sz w:val="18"/>
                <w:szCs w:val="18"/>
              </w:rPr>
            </w:pPr>
            <w:r>
              <w:rPr>
                <w:rFonts w:hint="default" w:ascii="Times New Roman" w:hAnsi="Times New Roman" w:eastAsia="宋体" w:cs="Times New Roman"/>
                <w:sz w:val="18"/>
                <w:szCs w:val="18"/>
              </w:rPr>
              <w:t>流动相B(%)</w:t>
            </w:r>
          </w:p>
        </w:tc>
      </w:tr>
      <w:tr w14:paraId="4A1D8479">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jc w:val="center"/>
        </w:trPr>
        <w:tc>
          <w:tcPr>
            <w:tcW w:w="1666" w:type="pct"/>
            <w:tcBorders>
              <w:top w:val="single" w:color="auto" w:sz="4" w:space="0"/>
            </w:tcBorders>
            <w:vAlign w:val="center"/>
          </w:tcPr>
          <w:p w14:paraId="608B2C32">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default" w:ascii="Times New Roman" w:hAnsi="Times New Roman" w:eastAsia="宋体" w:cs="Times New Roman"/>
                <w:sz w:val="18"/>
                <w:szCs w:val="18"/>
              </w:rPr>
            </w:pPr>
            <w:r>
              <w:rPr>
                <w:rFonts w:hint="default" w:ascii="Times New Roman" w:hAnsi="Times New Roman" w:eastAsia="宋体" w:cs="Times New Roman"/>
                <w:sz w:val="18"/>
                <w:szCs w:val="18"/>
              </w:rPr>
              <w:t>0～3</w:t>
            </w:r>
          </w:p>
        </w:tc>
        <w:tc>
          <w:tcPr>
            <w:tcW w:w="1666" w:type="pct"/>
            <w:tcBorders>
              <w:top w:val="single" w:color="auto" w:sz="4" w:space="0"/>
            </w:tcBorders>
            <w:vAlign w:val="center"/>
          </w:tcPr>
          <w:p w14:paraId="562B5580">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default" w:ascii="Times New Roman" w:hAnsi="Times New Roman" w:eastAsia="宋体" w:cs="Times New Roman"/>
                <w:sz w:val="18"/>
                <w:szCs w:val="18"/>
              </w:rPr>
            </w:pPr>
            <w:r>
              <w:rPr>
                <w:rFonts w:hint="default" w:ascii="Times New Roman" w:hAnsi="Times New Roman" w:eastAsia="宋体" w:cs="Times New Roman"/>
                <w:sz w:val="18"/>
                <w:szCs w:val="18"/>
              </w:rPr>
              <w:t>2</w:t>
            </w:r>
          </w:p>
        </w:tc>
        <w:tc>
          <w:tcPr>
            <w:tcW w:w="1666" w:type="pct"/>
            <w:tcBorders>
              <w:top w:val="single" w:color="auto" w:sz="4" w:space="0"/>
            </w:tcBorders>
            <w:vAlign w:val="center"/>
          </w:tcPr>
          <w:p w14:paraId="577BF973">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default" w:ascii="Times New Roman" w:hAnsi="Times New Roman" w:eastAsia="宋体" w:cs="Times New Roman"/>
                <w:sz w:val="18"/>
                <w:szCs w:val="18"/>
              </w:rPr>
            </w:pPr>
            <w:r>
              <w:rPr>
                <w:rFonts w:hint="default" w:ascii="Times New Roman" w:hAnsi="Times New Roman" w:eastAsia="宋体" w:cs="Times New Roman"/>
                <w:sz w:val="18"/>
                <w:szCs w:val="18"/>
              </w:rPr>
              <w:t>98</w:t>
            </w:r>
          </w:p>
        </w:tc>
      </w:tr>
      <w:tr w14:paraId="58730F6E">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jc w:val="center"/>
        </w:trPr>
        <w:tc>
          <w:tcPr>
            <w:tcW w:w="1666" w:type="pct"/>
            <w:vAlign w:val="center"/>
          </w:tcPr>
          <w:p w14:paraId="696FEBAC">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default" w:ascii="Times New Roman" w:hAnsi="Times New Roman" w:eastAsia="宋体" w:cs="Times New Roman"/>
                <w:sz w:val="18"/>
                <w:szCs w:val="18"/>
              </w:rPr>
            </w:pPr>
            <w:r>
              <w:rPr>
                <w:rFonts w:hint="default" w:ascii="Times New Roman" w:hAnsi="Times New Roman" w:eastAsia="宋体" w:cs="Times New Roman"/>
                <w:sz w:val="18"/>
                <w:szCs w:val="18"/>
              </w:rPr>
              <w:t>3～13</w:t>
            </w:r>
          </w:p>
        </w:tc>
        <w:tc>
          <w:tcPr>
            <w:tcW w:w="1666" w:type="pct"/>
            <w:vAlign w:val="center"/>
          </w:tcPr>
          <w:p w14:paraId="05B11DE6">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default" w:ascii="Times New Roman" w:hAnsi="Times New Roman" w:eastAsia="宋体" w:cs="Times New Roman"/>
                <w:sz w:val="18"/>
                <w:szCs w:val="18"/>
              </w:rPr>
            </w:pPr>
            <w:r>
              <w:rPr>
                <w:rFonts w:hint="default" w:ascii="Times New Roman" w:hAnsi="Times New Roman" w:eastAsia="宋体" w:cs="Times New Roman"/>
                <w:sz w:val="18"/>
                <w:szCs w:val="18"/>
              </w:rPr>
              <w:t>2→4</w:t>
            </w:r>
          </w:p>
        </w:tc>
        <w:tc>
          <w:tcPr>
            <w:tcW w:w="1666" w:type="pct"/>
            <w:vAlign w:val="center"/>
          </w:tcPr>
          <w:p w14:paraId="76D4B00E">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default" w:ascii="Times New Roman" w:hAnsi="Times New Roman" w:eastAsia="宋体" w:cs="Times New Roman"/>
                <w:sz w:val="18"/>
                <w:szCs w:val="18"/>
              </w:rPr>
            </w:pPr>
            <w:r>
              <w:rPr>
                <w:rFonts w:hint="default" w:ascii="Times New Roman" w:hAnsi="Times New Roman" w:eastAsia="宋体" w:cs="Times New Roman"/>
                <w:sz w:val="18"/>
                <w:szCs w:val="18"/>
              </w:rPr>
              <w:t>98→96</w:t>
            </w:r>
          </w:p>
        </w:tc>
      </w:tr>
      <w:tr w14:paraId="000CF694">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jc w:val="center"/>
        </w:trPr>
        <w:tc>
          <w:tcPr>
            <w:tcW w:w="1666" w:type="pct"/>
            <w:vAlign w:val="center"/>
          </w:tcPr>
          <w:p w14:paraId="5123E306">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default" w:ascii="Times New Roman" w:hAnsi="Times New Roman" w:eastAsia="宋体" w:cs="Times New Roman"/>
                <w:sz w:val="18"/>
                <w:szCs w:val="18"/>
              </w:rPr>
            </w:pPr>
            <w:r>
              <w:rPr>
                <w:rFonts w:hint="default" w:ascii="Times New Roman" w:hAnsi="Times New Roman" w:eastAsia="宋体" w:cs="Times New Roman"/>
                <w:sz w:val="18"/>
                <w:szCs w:val="18"/>
              </w:rPr>
              <w:t>13～16</w:t>
            </w:r>
          </w:p>
        </w:tc>
        <w:tc>
          <w:tcPr>
            <w:tcW w:w="1666" w:type="pct"/>
            <w:vAlign w:val="center"/>
          </w:tcPr>
          <w:p w14:paraId="68C944E1">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default" w:ascii="Times New Roman" w:hAnsi="Times New Roman" w:eastAsia="宋体" w:cs="Times New Roman"/>
                <w:sz w:val="18"/>
                <w:szCs w:val="18"/>
              </w:rPr>
            </w:pPr>
            <w:r>
              <w:rPr>
                <w:rFonts w:hint="default" w:ascii="Times New Roman" w:hAnsi="Times New Roman" w:eastAsia="宋体" w:cs="Times New Roman"/>
                <w:sz w:val="18"/>
                <w:szCs w:val="18"/>
              </w:rPr>
              <w:t>4→6</w:t>
            </w:r>
          </w:p>
        </w:tc>
        <w:tc>
          <w:tcPr>
            <w:tcW w:w="1666" w:type="pct"/>
            <w:vAlign w:val="center"/>
          </w:tcPr>
          <w:p w14:paraId="0C645491">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default" w:ascii="Times New Roman" w:hAnsi="Times New Roman" w:eastAsia="宋体" w:cs="Times New Roman"/>
                <w:sz w:val="18"/>
                <w:szCs w:val="18"/>
              </w:rPr>
            </w:pPr>
            <w:r>
              <w:rPr>
                <w:rFonts w:hint="default" w:ascii="Times New Roman" w:hAnsi="Times New Roman" w:eastAsia="宋体" w:cs="Times New Roman"/>
                <w:sz w:val="18"/>
                <w:szCs w:val="18"/>
              </w:rPr>
              <w:t>96→94</w:t>
            </w:r>
          </w:p>
        </w:tc>
      </w:tr>
      <w:tr w14:paraId="69D134B8">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jc w:val="center"/>
        </w:trPr>
        <w:tc>
          <w:tcPr>
            <w:tcW w:w="1666" w:type="pct"/>
            <w:vAlign w:val="center"/>
          </w:tcPr>
          <w:p w14:paraId="0C5C2C37">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default" w:ascii="Times New Roman" w:hAnsi="Times New Roman" w:eastAsia="宋体" w:cs="Times New Roman"/>
                <w:sz w:val="18"/>
                <w:szCs w:val="18"/>
              </w:rPr>
            </w:pPr>
            <w:r>
              <w:rPr>
                <w:rFonts w:hint="default" w:ascii="Times New Roman" w:hAnsi="Times New Roman" w:eastAsia="宋体" w:cs="Times New Roman"/>
                <w:sz w:val="18"/>
                <w:szCs w:val="18"/>
              </w:rPr>
              <w:t>16～35</w:t>
            </w:r>
          </w:p>
        </w:tc>
        <w:tc>
          <w:tcPr>
            <w:tcW w:w="1666" w:type="pct"/>
            <w:vAlign w:val="center"/>
          </w:tcPr>
          <w:p w14:paraId="4718E00C">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default" w:ascii="Times New Roman" w:hAnsi="Times New Roman" w:eastAsia="宋体" w:cs="Times New Roman"/>
                <w:sz w:val="18"/>
                <w:szCs w:val="18"/>
              </w:rPr>
            </w:pPr>
            <w:r>
              <w:rPr>
                <w:rFonts w:hint="default" w:ascii="Times New Roman" w:hAnsi="Times New Roman" w:eastAsia="宋体" w:cs="Times New Roman"/>
                <w:sz w:val="18"/>
                <w:szCs w:val="18"/>
              </w:rPr>
              <w:t>6→12</w:t>
            </w:r>
          </w:p>
        </w:tc>
        <w:tc>
          <w:tcPr>
            <w:tcW w:w="1666" w:type="pct"/>
            <w:vAlign w:val="center"/>
          </w:tcPr>
          <w:p w14:paraId="2057F7FC">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default" w:ascii="Times New Roman" w:hAnsi="Times New Roman" w:eastAsia="宋体" w:cs="Times New Roman"/>
                <w:sz w:val="18"/>
                <w:szCs w:val="18"/>
              </w:rPr>
            </w:pPr>
            <w:r>
              <w:rPr>
                <w:rFonts w:hint="default" w:ascii="Times New Roman" w:hAnsi="Times New Roman" w:eastAsia="宋体" w:cs="Times New Roman"/>
                <w:sz w:val="18"/>
                <w:szCs w:val="18"/>
              </w:rPr>
              <w:t>94→88</w:t>
            </w:r>
          </w:p>
        </w:tc>
      </w:tr>
      <w:tr w14:paraId="719CD8E1">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jc w:val="center"/>
        </w:trPr>
        <w:tc>
          <w:tcPr>
            <w:tcW w:w="1666" w:type="pct"/>
            <w:vAlign w:val="center"/>
          </w:tcPr>
          <w:p w14:paraId="19E05D33">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default" w:ascii="Times New Roman" w:hAnsi="Times New Roman" w:eastAsia="宋体" w:cs="Times New Roman"/>
                <w:sz w:val="18"/>
                <w:szCs w:val="18"/>
              </w:rPr>
            </w:pPr>
            <w:r>
              <w:rPr>
                <w:rFonts w:hint="default" w:ascii="Times New Roman" w:hAnsi="Times New Roman" w:eastAsia="宋体" w:cs="Times New Roman"/>
                <w:sz w:val="18"/>
                <w:szCs w:val="18"/>
              </w:rPr>
              <w:t>35～50</w:t>
            </w:r>
          </w:p>
        </w:tc>
        <w:tc>
          <w:tcPr>
            <w:tcW w:w="1666" w:type="pct"/>
            <w:vAlign w:val="center"/>
          </w:tcPr>
          <w:p w14:paraId="4F6425A6">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default" w:ascii="Times New Roman" w:hAnsi="Times New Roman" w:eastAsia="宋体" w:cs="Times New Roman"/>
                <w:sz w:val="18"/>
                <w:szCs w:val="18"/>
              </w:rPr>
            </w:pPr>
            <w:r>
              <w:rPr>
                <w:rFonts w:hint="default" w:ascii="Times New Roman" w:hAnsi="Times New Roman" w:eastAsia="宋体" w:cs="Times New Roman"/>
                <w:sz w:val="18"/>
                <w:szCs w:val="18"/>
              </w:rPr>
              <w:t>12→14</w:t>
            </w:r>
          </w:p>
        </w:tc>
        <w:tc>
          <w:tcPr>
            <w:tcW w:w="1666" w:type="pct"/>
            <w:vAlign w:val="center"/>
          </w:tcPr>
          <w:p w14:paraId="50052D04">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default" w:ascii="Times New Roman" w:hAnsi="Times New Roman" w:eastAsia="宋体" w:cs="Times New Roman"/>
                <w:sz w:val="18"/>
                <w:szCs w:val="18"/>
              </w:rPr>
            </w:pPr>
            <w:r>
              <w:rPr>
                <w:rFonts w:hint="default" w:ascii="Times New Roman" w:hAnsi="Times New Roman" w:eastAsia="宋体" w:cs="Times New Roman"/>
                <w:sz w:val="18"/>
                <w:szCs w:val="18"/>
              </w:rPr>
              <w:t>88→86</w:t>
            </w:r>
          </w:p>
        </w:tc>
      </w:tr>
      <w:tr w14:paraId="64836EB3">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jc w:val="center"/>
        </w:trPr>
        <w:tc>
          <w:tcPr>
            <w:tcW w:w="1666" w:type="pct"/>
            <w:vAlign w:val="center"/>
          </w:tcPr>
          <w:p w14:paraId="29391531">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default" w:ascii="Times New Roman" w:hAnsi="Times New Roman" w:eastAsia="宋体" w:cs="Times New Roman"/>
                <w:sz w:val="18"/>
                <w:szCs w:val="18"/>
              </w:rPr>
            </w:pPr>
            <w:r>
              <w:rPr>
                <w:rFonts w:hint="default" w:ascii="Times New Roman" w:hAnsi="Times New Roman" w:eastAsia="宋体" w:cs="Times New Roman"/>
                <w:sz w:val="18"/>
                <w:szCs w:val="18"/>
              </w:rPr>
              <w:t>50～53</w:t>
            </w:r>
          </w:p>
        </w:tc>
        <w:tc>
          <w:tcPr>
            <w:tcW w:w="1666" w:type="pct"/>
            <w:vAlign w:val="center"/>
          </w:tcPr>
          <w:p w14:paraId="0DEED08C">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default" w:ascii="Times New Roman" w:hAnsi="Times New Roman" w:eastAsia="宋体" w:cs="Times New Roman"/>
                <w:sz w:val="18"/>
                <w:szCs w:val="18"/>
              </w:rPr>
            </w:pPr>
            <w:r>
              <w:rPr>
                <w:rFonts w:hint="default" w:ascii="Times New Roman" w:hAnsi="Times New Roman" w:eastAsia="宋体" w:cs="Times New Roman"/>
                <w:sz w:val="18"/>
                <w:szCs w:val="18"/>
              </w:rPr>
              <w:t>14</w:t>
            </w:r>
          </w:p>
        </w:tc>
        <w:tc>
          <w:tcPr>
            <w:tcW w:w="1666" w:type="pct"/>
            <w:vAlign w:val="center"/>
          </w:tcPr>
          <w:p w14:paraId="1DC332E0">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default" w:ascii="Times New Roman" w:hAnsi="Times New Roman" w:eastAsia="宋体" w:cs="Times New Roman"/>
                <w:sz w:val="18"/>
                <w:szCs w:val="18"/>
              </w:rPr>
            </w:pPr>
            <w:r>
              <w:rPr>
                <w:rFonts w:hint="default" w:ascii="Times New Roman" w:hAnsi="Times New Roman" w:eastAsia="宋体" w:cs="Times New Roman"/>
                <w:sz w:val="18"/>
                <w:szCs w:val="18"/>
              </w:rPr>
              <w:t>86</w:t>
            </w:r>
          </w:p>
        </w:tc>
      </w:tr>
      <w:tr w14:paraId="3C39D5F0">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jc w:val="center"/>
        </w:trPr>
        <w:tc>
          <w:tcPr>
            <w:tcW w:w="1666" w:type="pct"/>
            <w:vAlign w:val="center"/>
          </w:tcPr>
          <w:p w14:paraId="213AB321">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default" w:ascii="Times New Roman" w:hAnsi="Times New Roman" w:eastAsia="宋体" w:cs="Times New Roman"/>
                <w:sz w:val="18"/>
                <w:szCs w:val="18"/>
              </w:rPr>
            </w:pPr>
            <w:r>
              <w:rPr>
                <w:rFonts w:hint="default" w:ascii="Times New Roman" w:hAnsi="Times New Roman" w:eastAsia="宋体" w:cs="Times New Roman"/>
                <w:sz w:val="18"/>
                <w:szCs w:val="18"/>
              </w:rPr>
              <w:t>53～60</w:t>
            </w:r>
          </w:p>
        </w:tc>
        <w:tc>
          <w:tcPr>
            <w:tcW w:w="1666" w:type="pct"/>
            <w:vAlign w:val="center"/>
          </w:tcPr>
          <w:p w14:paraId="63F6B441">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default" w:ascii="Times New Roman" w:hAnsi="Times New Roman" w:eastAsia="宋体" w:cs="Times New Roman"/>
                <w:sz w:val="18"/>
                <w:szCs w:val="18"/>
              </w:rPr>
            </w:pPr>
            <w:r>
              <w:rPr>
                <w:rFonts w:hint="default" w:ascii="Times New Roman" w:hAnsi="Times New Roman" w:eastAsia="宋体" w:cs="Times New Roman"/>
                <w:sz w:val="18"/>
                <w:szCs w:val="18"/>
              </w:rPr>
              <w:t>14→20</w:t>
            </w:r>
          </w:p>
        </w:tc>
        <w:tc>
          <w:tcPr>
            <w:tcW w:w="1666" w:type="pct"/>
            <w:vAlign w:val="center"/>
          </w:tcPr>
          <w:p w14:paraId="0A6E1575">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default" w:ascii="Times New Roman" w:hAnsi="Times New Roman" w:eastAsia="宋体" w:cs="Times New Roman"/>
                <w:sz w:val="18"/>
                <w:szCs w:val="18"/>
              </w:rPr>
            </w:pPr>
            <w:r>
              <w:rPr>
                <w:rFonts w:hint="default" w:ascii="Times New Roman" w:hAnsi="Times New Roman" w:eastAsia="宋体" w:cs="Times New Roman"/>
                <w:sz w:val="18"/>
                <w:szCs w:val="18"/>
              </w:rPr>
              <w:t>86→80</w:t>
            </w:r>
          </w:p>
        </w:tc>
      </w:tr>
      <w:tr w14:paraId="494B9FEE">
        <w:tblPrEx>
          <w:tblBorders>
            <w:top w:val="single" w:color="auto" w:sz="12" w:space="0"/>
            <w:left w:val="none" w:color="auto" w:sz="0" w:space="0"/>
            <w:bottom w:val="single" w:color="auto" w:sz="12"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12" w:hRule="atLeast"/>
          <w:jc w:val="center"/>
        </w:trPr>
        <w:tc>
          <w:tcPr>
            <w:tcW w:w="1666" w:type="pct"/>
            <w:vAlign w:val="center"/>
          </w:tcPr>
          <w:p w14:paraId="11D12704">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default" w:ascii="Times New Roman" w:hAnsi="Times New Roman" w:eastAsia="宋体" w:cs="Times New Roman"/>
                <w:sz w:val="18"/>
                <w:szCs w:val="18"/>
              </w:rPr>
            </w:pPr>
            <w:r>
              <w:rPr>
                <w:rFonts w:hint="default" w:ascii="Times New Roman" w:hAnsi="Times New Roman" w:eastAsia="宋体" w:cs="Times New Roman"/>
                <w:sz w:val="18"/>
                <w:szCs w:val="18"/>
              </w:rPr>
              <w:t>60～62</w:t>
            </w:r>
          </w:p>
        </w:tc>
        <w:tc>
          <w:tcPr>
            <w:tcW w:w="1666" w:type="pct"/>
            <w:vAlign w:val="center"/>
          </w:tcPr>
          <w:p w14:paraId="1FD27B3A">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default" w:ascii="Times New Roman" w:hAnsi="Times New Roman" w:eastAsia="宋体" w:cs="Times New Roman"/>
                <w:sz w:val="18"/>
                <w:szCs w:val="18"/>
              </w:rPr>
            </w:pPr>
            <w:r>
              <w:rPr>
                <w:rFonts w:hint="default" w:ascii="Times New Roman" w:hAnsi="Times New Roman" w:eastAsia="宋体" w:cs="Times New Roman"/>
                <w:sz w:val="18"/>
                <w:szCs w:val="18"/>
              </w:rPr>
              <w:t>20→73</w:t>
            </w:r>
          </w:p>
        </w:tc>
        <w:tc>
          <w:tcPr>
            <w:tcW w:w="1666" w:type="pct"/>
            <w:vAlign w:val="center"/>
          </w:tcPr>
          <w:p w14:paraId="68CE3171">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default" w:ascii="Times New Roman" w:hAnsi="Times New Roman" w:eastAsia="宋体" w:cs="Times New Roman"/>
                <w:sz w:val="18"/>
                <w:szCs w:val="18"/>
              </w:rPr>
            </w:pPr>
            <w:r>
              <w:rPr>
                <w:rFonts w:hint="default" w:ascii="Times New Roman" w:hAnsi="Times New Roman" w:eastAsia="宋体" w:cs="Times New Roman"/>
                <w:sz w:val="18"/>
                <w:szCs w:val="18"/>
              </w:rPr>
              <w:t>80→27</w:t>
            </w:r>
          </w:p>
        </w:tc>
      </w:tr>
    </w:tbl>
    <w:p w14:paraId="75434C2B">
      <w:pPr>
        <w:keepNext w:val="0"/>
        <w:keepLines w:val="0"/>
        <w:pageBreakBefore w:val="0"/>
        <w:kinsoku/>
        <w:wordWrap/>
        <w:overflowPunct/>
        <w:topLinePunct w:val="0"/>
        <w:autoSpaceDE/>
        <w:autoSpaceDN/>
        <w:bidi w:val="0"/>
        <w:adjustRightInd/>
        <w:snapToGrid/>
        <w:ind w:firstLine="482"/>
        <w:jc w:val="both"/>
        <w:textAlignment w:val="auto"/>
        <w:rPr>
          <w:rFonts w:hint="default" w:ascii="Times New Roman" w:hAnsi="Times New Roman" w:eastAsia="宋体" w:cs="Times New Roman"/>
          <w:color w:val="000000"/>
          <w:sz w:val="21"/>
          <w:szCs w:val="21"/>
        </w:rPr>
      </w:pPr>
      <w:r>
        <w:rPr>
          <w:rFonts w:hint="default" w:ascii="Times New Roman" w:hAnsi="Times New Roman" w:eastAsia="宋体" w:cs="Times New Roman"/>
          <w:b/>
          <w:sz w:val="21"/>
          <w:szCs w:val="21"/>
        </w:rPr>
        <w:t>参照物溶液的制备</w:t>
      </w:r>
      <w:r>
        <w:rPr>
          <w:rFonts w:hint="default" w:ascii="Times New Roman" w:hAnsi="Times New Roman" w:eastAsia="宋体" w:cs="Times New Roman"/>
          <w:b/>
          <w:sz w:val="21"/>
          <w:szCs w:val="21"/>
          <w:lang w:val="en-US" w:eastAsia="zh-CN"/>
        </w:rPr>
        <w:t xml:space="preserve"> </w:t>
      </w:r>
      <w:r>
        <w:rPr>
          <w:rFonts w:hint="default" w:ascii="Times New Roman" w:hAnsi="Times New Roman" w:eastAsia="宋体" w:cs="Times New Roman"/>
          <w:color w:val="000000"/>
          <w:sz w:val="21"/>
          <w:szCs w:val="21"/>
        </w:rPr>
        <w:t>取麸炒芡实对照药材3.0g，置具塞锥形瓶中，加水100ml，加热回流60分钟，</w:t>
      </w:r>
      <w:r>
        <w:rPr>
          <w:rFonts w:hint="default" w:ascii="Times New Roman" w:hAnsi="Times New Roman" w:eastAsia="宋体" w:cs="Times New Roman"/>
          <w:sz w:val="21"/>
          <w:szCs w:val="21"/>
        </w:rPr>
        <w:t>离心(3000转20分钟)，取上清液转移至100ml锥形瓶中，65℃减压旋蒸至干，</w:t>
      </w:r>
      <w:r>
        <w:rPr>
          <w:rFonts w:hint="default" w:ascii="Times New Roman" w:hAnsi="Times New Roman" w:eastAsia="宋体" w:cs="Times New Roman"/>
          <w:color w:val="000000"/>
          <w:sz w:val="21"/>
          <w:szCs w:val="21"/>
        </w:rPr>
        <w:t>残渣加50%甲醇20ml，超声处理（功率250W，频率40kHz）60分钟，放冷，摇匀，滤过，滤液水浴浓缩至2ml，作为对照药材参照物溶液。取没食子酸、阿魏酸对照品适量，精密称定，加50%甲醇制成每1ml各含20μg的溶液，作为对照品参照物溶液。</w:t>
      </w:r>
    </w:p>
    <w:p w14:paraId="31CDFE3D">
      <w:pPr>
        <w:keepNext w:val="0"/>
        <w:keepLines w:val="0"/>
        <w:pageBreakBefore w:val="0"/>
        <w:kinsoku/>
        <w:wordWrap/>
        <w:overflowPunct/>
        <w:topLinePunct w:val="0"/>
        <w:autoSpaceDE/>
        <w:autoSpaceDN/>
        <w:bidi w:val="0"/>
        <w:adjustRightInd/>
        <w:snapToGrid/>
        <w:ind w:firstLine="482"/>
        <w:jc w:val="both"/>
        <w:textAlignment w:val="auto"/>
        <w:rPr>
          <w:rFonts w:hint="default" w:ascii="Times New Roman" w:hAnsi="Times New Roman" w:eastAsia="宋体" w:cs="Times New Roman"/>
          <w:sz w:val="21"/>
          <w:szCs w:val="21"/>
        </w:rPr>
      </w:pPr>
      <w:r>
        <w:rPr>
          <w:rFonts w:hint="default" w:ascii="Times New Roman" w:hAnsi="Times New Roman" w:eastAsia="宋体" w:cs="Times New Roman"/>
          <w:b/>
          <w:sz w:val="21"/>
          <w:szCs w:val="21"/>
        </w:rPr>
        <w:t>供试品溶液的制备</w:t>
      </w:r>
      <w:r>
        <w:rPr>
          <w:rFonts w:hint="default" w:ascii="Times New Roman" w:hAnsi="Times New Roman" w:eastAsia="宋体" w:cs="Times New Roman"/>
          <w:sz w:val="21"/>
          <w:szCs w:val="21"/>
        </w:rPr>
        <w:t xml:space="preserve"> </w:t>
      </w:r>
      <w:r>
        <w:rPr>
          <w:rFonts w:hint="default" w:ascii="Times New Roman" w:hAnsi="Times New Roman" w:eastAsia="宋体" w:cs="Times New Roman"/>
          <w:color w:val="000000"/>
          <w:sz w:val="21"/>
          <w:szCs w:val="21"/>
        </w:rPr>
        <w:t>同【含量测定】没食子酸项下供试品制备。</w:t>
      </w:r>
    </w:p>
    <w:p w14:paraId="469F444C">
      <w:pPr>
        <w:keepNext w:val="0"/>
        <w:keepLines w:val="0"/>
        <w:pageBreakBefore w:val="0"/>
        <w:kinsoku/>
        <w:wordWrap/>
        <w:overflowPunct/>
        <w:topLinePunct w:val="0"/>
        <w:autoSpaceDE/>
        <w:autoSpaceDN/>
        <w:bidi w:val="0"/>
        <w:adjustRightInd/>
        <w:snapToGrid/>
        <w:ind w:firstLine="482"/>
        <w:jc w:val="both"/>
        <w:textAlignment w:val="auto"/>
        <w:rPr>
          <w:rFonts w:hint="default" w:ascii="Times New Roman" w:hAnsi="Times New Roman" w:eastAsia="宋体" w:cs="Times New Roman"/>
          <w:sz w:val="21"/>
          <w:szCs w:val="21"/>
        </w:rPr>
      </w:pPr>
      <w:r>
        <w:rPr>
          <w:rFonts w:hint="default" w:ascii="Times New Roman" w:hAnsi="Times New Roman" w:eastAsia="宋体" w:cs="Times New Roman"/>
          <w:b/>
          <w:sz w:val="21"/>
          <w:szCs w:val="21"/>
        </w:rPr>
        <w:t>测定法</w:t>
      </w:r>
      <w:r>
        <w:rPr>
          <w:rFonts w:hint="default" w:ascii="Times New Roman" w:hAnsi="Times New Roman" w:eastAsia="宋体" w:cs="Times New Roman"/>
          <w:b/>
          <w:color w:val="000000"/>
          <w:sz w:val="21"/>
          <w:szCs w:val="21"/>
          <w:lang w:val="en-US" w:eastAsia="zh-CN"/>
        </w:rPr>
        <w:t xml:space="preserve"> </w:t>
      </w:r>
      <w:r>
        <w:rPr>
          <w:rFonts w:hint="default" w:ascii="Times New Roman" w:hAnsi="Times New Roman" w:eastAsia="宋体" w:cs="Times New Roman"/>
          <w:color w:val="000000"/>
          <w:sz w:val="21"/>
          <w:szCs w:val="21"/>
        </w:rPr>
        <w:t>分别精密吸取参照物溶液及供试品溶液各3</w:t>
      </w:r>
      <w:r>
        <w:rPr>
          <w:rFonts w:hint="default" w:ascii="Times New Roman" w:hAnsi="Times New Roman" w:eastAsia="宋体" w:cs="Times New Roman"/>
          <w:color w:val="000000"/>
          <w:sz w:val="21"/>
          <w:szCs w:val="21"/>
        </w:rPr>
        <w:sym w:font="Symbol" w:char="F06D"/>
      </w:r>
      <w:r>
        <w:rPr>
          <w:rFonts w:hint="default" w:ascii="Times New Roman" w:hAnsi="Times New Roman" w:eastAsia="宋体" w:cs="Times New Roman"/>
          <w:color w:val="000000"/>
          <w:sz w:val="21"/>
          <w:szCs w:val="21"/>
        </w:rPr>
        <w:t>l，注入液相色谱仪，测定，即得。</w:t>
      </w:r>
    </w:p>
    <w:p w14:paraId="670C0527">
      <w:pPr>
        <w:keepNext w:val="0"/>
        <w:keepLines w:val="0"/>
        <w:pageBreakBefore w:val="0"/>
        <w:kinsoku/>
        <w:wordWrap/>
        <w:overflowPunct/>
        <w:topLinePunct w:val="0"/>
        <w:autoSpaceDE/>
        <w:autoSpaceDN/>
        <w:bidi w:val="0"/>
        <w:adjustRightInd/>
        <w:snapToGrid/>
        <w:ind w:firstLine="480"/>
        <w:jc w:val="both"/>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rPr>
        <w:t>供试品色谱中应呈现12个特征峰，</w:t>
      </w:r>
      <w:r>
        <w:rPr>
          <w:rFonts w:hint="default" w:ascii="Times New Roman" w:hAnsi="Times New Roman" w:eastAsia="宋体" w:cs="Times New Roman"/>
          <w:sz w:val="21"/>
          <w:szCs w:val="21"/>
        </w:rPr>
        <w:t>并应与对照药材参照物色谱中的1</w:t>
      </w:r>
      <w:r>
        <w:rPr>
          <w:rFonts w:hint="default" w:ascii="Times New Roman" w:hAnsi="Times New Roman" w:eastAsia="宋体" w:cs="Times New Roman"/>
          <w:sz w:val="21"/>
          <w:szCs w:val="21"/>
        </w:rPr>
        <w:t>2</w:t>
      </w:r>
      <w:r>
        <w:rPr>
          <w:rFonts w:hint="default" w:ascii="Times New Roman" w:hAnsi="Times New Roman" w:eastAsia="宋体" w:cs="Times New Roman"/>
          <w:sz w:val="21"/>
          <w:szCs w:val="21"/>
        </w:rPr>
        <w:t>个特征峰保留时间相对应，</w:t>
      </w:r>
      <w:r>
        <w:rPr>
          <w:rFonts w:hint="default" w:ascii="Times New Roman" w:hAnsi="Times New Roman" w:eastAsia="宋体" w:cs="Times New Roman"/>
          <w:sz w:val="21"/>
          <w:szCs w:val="21"/>
        </w:rPr>
        <w:t>其中峰2、峰10应与对照品参照物峰保留时间相对应，与没食子酸对照品参照物相对应的峰为S1峰，计算峰1、峰3、峰4与S1峰的相对保留时间，其相对保留时间应在规定值的±10%之内。规定值为</w:t>
      </w:r>
      <w:r>
        <w:rPr>
          <w:rFonts w:hint="eastAsia" w:cs="Times New Roman"/>
          <w:sz w:val="21"/>
          <w:szCs w:val="21"/>
          <w:lang w:eastAsia="zh-CN"/>
        </w:rPr>
        <w:t>∶</w:t>
      </w:r>
      <w:r>
        <w:rPr>
          <w:rFonts w:hint="default" w:ascii="Times New Roman" w:hAnsi="Times New Roman" w:eastAsia="宋体" w:cs="Times New Roman"/>
          <w:sz w:val="21"/>
          <w:szCs w:val="21"/>
        </w:rPr>
        <w:t>0.89（峰1）、1.41（峰3）、1.62（峰4）；与阿魏酸对照品参照物相对应的峰为S2峰，计算峰5、峰6、峰7、峰8、峰9、峰11、峰12与S2峰的相对保留时间，其相对保留时间应在规定值的±10%之内。规定值为</w:t>
      </w:r>
      <w:r>
        <w:rPr>
          <w:rFonts w:hint="eastAsia" w:cs="Times New Roman"/>
          <w:sz w:val="21"/>
          <w:szCs w:val="21"/>
          <w:lang w:eastAsia="zh-CN"/>
        </w:rPr>
        <w:t>∶</w:t>
      </w:r>
      <w:r>
        <w:rPr>
          <w:rFonts w:hint="default" w:ascii="Times New Roman" w:hAnsi="Times New Roman" w:eastAsia="宋体" w:cs="Times New Roman"/>
          <w:sz w:val="21"/>
          <w:szCs w:val="21"/>
        </w:rPr>
        <w:t>0.53（峰5）、0.74（峰6）、0.75（峰7）、0.79（峰8）、0.86（峰9）、1.17（峰11）、1.29（峰12）。</w:t>
      </w:r>
      <w:r>
        <w:rPr>
          <w:rFonts w:hint="default" w:ascii="Times New Roman" w:hAnsi="Times New Roman" w:eastAsia="宋体" w:cs="Times New Roman"/>
          <w:bCs/>
          <w:sz w:val="21"/>
          <w:szCs w:val="21"/>
        </w:rPr>
        <w:t>计算</w:t>
      </w:r>
      <w:r>
        <w:rPr>
          <w:rFonts w:hint="default" w:ascii="Times New Roman" w:hAnsi="Times New Roman" w:eastAsia="宋体" w:cs="Times New Roman"/>
          <w:bCs/>
          <w:sz w:val="21"/>
          <w:szCs w:val="21"/>
        </w:rPr>
        <w:t>峰</w:t>
      </w:r>
      <w:r>
        <w:rPr>
          <w:rFonts w:hint="default" w:ascii="Times New Roman" w:hAnsi="Times New Roman" w:eastAsia="宋体" w:cs="Times New Roman"/>
          <w:bCs/>
          <w:sz w:val="21"/>
          <w:szCs w:val="21"/>
        </w:rPr>
        <w:t>7与</w:t>
      </w:r>
      <w:r>
        <w:rPr>
          <w:rFonts w:hint="default" w:ascii="Times New Roman" w:hAnsi="Times New Roman" w:eastAsia="宋体" w:cs="Times New Roman"/>
          <w:bCs/>
          <w:sz w:val="21"/>
          <w:szCs w:val="21"/>
        </w:rPr>
        <w:t>峰</w:t>
      </w:r>
      <w:r>
        <w:rPr>
          <w:rFonts w:hint="default" w:ascii="Times New Roman" w:hAnsi="Times New Roman" w:eastAsia="宋体" w:cs="Times New Roman"/>
          <w:bCs/>
          <w:sz w:val="21"/>
          <w:szCs w:val="21"/>
        </w:rPr>
        <w:t>6的</w:t>
      </w:r>
      <w:r>
        <w:rPr>
          <w:rFonts w:hint="default" w:ascii="Times New Roman" w:hAnsi="Times New Roman" w:eastAsia="宋体" w:cs="Times New Roman"/>
          <w:bCs/>
          <w:sz w:val="21"/>
          <w:szCs w:val="21"/>
        </w:rPr>
        <w:t>峰面积</w:t>
      </w:r>
      <w:r>
        <w:rPr>
          <w:rFonts w:hint="default" w:ascii="Times New Roman" w:hAnsi="Times New Roman" w:eastAsia="宋体" w:cs="Times New Roman"/>
          <w:bCs/>
          <w:sz w:val="21"/>
          <w:szCs w:val="21"/>
        </w:rPr>
        <w:t>比</w:t>
      </w:r>
      <w:r>
        <w:rPr>
          <w:rFonts w:hint="default" w:ascii="Times New Roman" w:hAnsi="Times New Roman" w:eastAsia="宋体" w:cs="Times New Roman"/>
          <w:bCs/>
          <w:sz w:val="21"/>
          <w:szCs w:val="21"/>
        </w:rPr>
        <w:t>，其</w:t>
      </w:r>
      <w:r>
        <w:rPr>
          <w:rFonts w:hint="default" w:ascii="Times New Roman" w:hAnsi="Times New Roman" w:eastAsia="宋体" w:cs="Times New Roman"/>
          <w:bCs/>
          <w:sz w:val="21"/>
          <w:szCs w:val="21"/>
          <w:lang w:val="en-US" w:eastAsia="zh-CN"/>
        </w:rPr>
        <w:t>相对</w:t>
      </w:r>
      <w:r>
        <w:rPr>
          <w:rFonts w:hint="default" w:ascii="Times New Roman" w:hAnsi="Times New Roman" w:eastAsia="宋体" w:cs="Times New Roman"/>
          <w:bCs/>
          <w:sz w:val="21"/>
          <w:szCs w:val="21"/>
        </w:rPr>
        <w:t>峰面积应在规定范围之内</w:t>
      </w:r>
      <w:r>
        <w:rPr>
          <w:rFonts w:hint="default" w:ascii="Times New Roman" w:hAnsi="Times New Roman" w:eastAsia="宋体" w:cs="Times New Roman"/>
          <w:sz w:val="21"/>
          <w:szCs w:val="21"/>
        </w:rPr>
        <w:t>，规定值为</w:t>
      </w:r>
      <w:r>
        <w:rPr>
          <w:rFonts w:hint="eastAsia" w:cs="Times New Roman"/>
          <w:sz w:val="21"/>
          <w:szCs w:val="21"/>
          <w:lang w:eastAsia="zh-CN"/>
        </w:rPr>
        <w:t>∶</w:t>
      </w:r>
      <w:r>
        <w:rPr>
          <w:rFonts w:hint="default" w:ascii="Times New Roman" w:hAnsi="Times New Roman" w:eastAsia="宋体" w:cs="Times New Roman"/>
          <w:sz w:val="21"/>
          <w:szCs w:val="21"/>
        </w:rPr>
        <w:t>不得大于0.80。</w:t>
      </w:r>
    </w:p>
    <w:p w14:paraId="532E9870">
      <w:pPr>
        <w:keepNext w:val="0"/>
        <w:keepLines w:val="0"/>
        <w:pageBreakBefore w:val="0"/>
        <w:widowControl/>
        <w:kinsoku/>
        <w:wordWrap/>
        <w:overflowPunct/>
        <w:topLinePunct w:val="0"/>
        <w:autoSpaceDE/>
        <w:autoSpaceDN/>
        <w:bidi w:val="0"/>
        <w:adjustRightInd/>
        <w:snapToGrid/>
        <w:ind w:firstLine="480"/>
        <w:jc w:val="center"/>
        <w:textAlignment w:val="auto"/>
        <w:rPr>
          <w:rFonts w:hint="default" w:ascii="Times New Roman" w:hAnsi="Times New Roman" w:eastAsia="宋体" w:cs="Times New Roman"/>
          <w:color w:val="FF0000"/>
          <w:sz w:val="21"/>
          <w:szCs w:val="21"/>
        </w:rPr>
      </w:pPr>
      <w:r>
        <w:rPr>
          <w:rFonts w:hint="default" w:ascii="Times New Roman" w:hAnsi="Times New Roman" w:eastAsia="宋体" w:cs="Times New Roman"/>
          <w:sz w:val="21"/>
          <w:szCs w:val="21"/>
        </w:rPr>
        <w:drawing>
          <wp:inline distT="0" distB="0" distL="0" distR="0">
            <wp:extent cx="5153025" cy="2708275"/>
            <wp:effectExtent l="0" t="0" r="0" b="0"/>
            <wp:docPr id="19" name="图片 19" descr="c1e17aa2296c2e1f447d2240fcca5c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9" descr="c1e17aa2296c2e1f447d2240fcca5c5"/>
                    <pic:cNvPicPr>
                      <a:picLocks noChangeAspect="1" noChangeArrowheads="1"/>
                    </pic:cNvPicPr>
                  </pic:nvPicPr>
                  <pic:blipFill>
                    <a:blip r:embed="rId12">
                      <a:grayscl/>
                      <a:extLst>
                        <a:ext uri="{28A0092B-C50C-407E-A947-70E740481C1C}">
                          <a14:useLocalDpi xmlns:a14="http://schemas.microsoft.com/office/drawing/2010/main" val="0"/>
                        </a:ext>
                      </a:extLst>
                    </a:blip>
                    <a:srcRect/>
                    <a:stretch>
                      <a:fillRect/>
                    </a:stretch>
                  </pic:blipFill>
                  <pic:spPr>
                    <a:xfrm>
                      <a:off x="0" y="0"/>
                      <a:ext cx="5157833" cy="2711222"/>
                    </a:xfrm>
                    <a:prstGeom prst="rect">
                      <a:avLst/>
                    </a:prstGeom>
                    <a:noFill/>
                    <a:ln>
                      <a:noFill/>
                    </a:ln>
                  </pic:spPr>
                </pic:pic>
              </a:graphicData>
            </a:graphic>
          </wp:inline>
        </w:drawing>
      </w:r>
    </w:p>
    <w:p w14:paraId="3D9AD069">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default" w:ascii="Times New Roman" w:hAnsi="Times New Roman" w:eastAsia="宋体" w:cs="Times New Roman"/>
          <w:b/>
          <w:bCs/>
          <w:kern w:val="0"/>
          <w:sz w:val="24"/>
          <w:szCs w:val="24"/>
          <w:lang w:eastAsia="zh-CN"/>
        </w:rPr>
      </w:pPr>
      <w:r>
        <w:rPr>
          <w:rFonts w:hint="default" w:ascii="Times New Roman" w:hAnsi="Times New Roman" w:eastAsia="宋体" w:cs="Times New Roman"/>
          <w:b/>
          <w:bCs/>
          <w:kern w:val="0"/>
          <w:sz w:val="21"/>
          <w:szCs w:val="21"/>
          <w:lang w:eastAsia="zh-CN"/>
        </w:rPr>
        <w:t>对照特征图谱</w:t>
      </w:r>
    </w:p>
    <w:p w14:paraId="773A302C">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default" w:ascii="Times New Roman" w:hAnsi="Times New Roman" w:eastAsia="宋体" w:cs="Times New Roman"/>
          <w:color w:val="auto"/>
          <w:kern w:val="2"/>
          <w:sz w:val="18"/>
          <w:szCs w:val="18"/>
          <w:lang w:eastAsia="zh-CN"/>
        </w:rPr>
      </w:pPr>
      <w:r>
        <w:rPr>
          <w:rFonts w:hint="default" w:ascii="Times New Roman" w:hAnsi="Times New Roman" w:eastAsia="宋体" w:cs="Times New Roman"/>
          <w:color w:val="auto"/>
          <w:kern w:val="2"/>
          <w:sz w:val="18"/>
          <w:szCs w:val="18"/>
          <w:lang w:eastAsia="zh-CN"/>
        </w:rPr>
        <w:t>峰2（S1）</w:t>
      </w:r>
      <w:r>
        <w:rPr>
          <w:rFonts w:hint="eastAsia" w:ascii="Times New Roman" w:hAnsi="Times New Roman" w:eastAsia="宋体" w:cs="Times New Roman"/>
          <w:color w:val="auto"/>
          <w:kern w:val="2"/>
          <w:sz w:val="18"/>
          <w:szCs w:val="18"/>
          <w:lang w:eastAsia="zh-CN"/>
        </w:rPr>
        <w:t>∶</w:t>
      </w:r>
      <w:r>
        <w:rPr>
          <w:rFonts w:hint="default" w:ascii="Times New Roman" w:hAnsi="Times New Roman" w:eastAsia="宋体" w:cs="Times New Roman"/>
          <w:color w:val="auto"/>
          <w:kern w:val="2"/>
          <w:sz w:val="18"/>
          <w:szCs w:val="18"/>
          <w:lang w:eastAsia="zh-CN"/>
        </w:rPr>
        <w:t>没食子酸；峰3</w:t>
      </w:r>
      <w:r>
        <w:rPr>
          <w:rFonts w:hint="eastAsia" w:ascii="Times New Roman" w:hAnsi="Times New Roman" w:eastAsia="宋体" w:cs="Times New Roman"/>
          <w:color w:val="auto"/>
          <w:kern w:val="2"/>
          <w:sz w:val="18"/>
          <w:szCs w:val="18"/>
          <w:lang w:eastAsia="zh-CN"/>
        </w:rPr>
        <w:t>∶</w:t>
      </w:r>
      <w:r>
        <w:rPr>
          <w:rFonts w:hint="default" w:ascii="Times New Roman" w:hAnsi="Times New Roman" w:eastAsia="宋体" w:cs="Times New Roman"/>
          <w:color w:val="auto"/>
          <w:kern w:val="2"/>
          <w:sz w:val="18"/>
          <w:szCs w:val="18"/>
          <w:lang w:eastAsia="zh-CN"/>
        </w:rPr>
        <w:t>5-羟甲基糠醛；峰5</w:t>
      </w:r>
      <w:r>
        <w:rPr>
          <w:rFonts w:hint="eastAsia" w:ascii="Times New Roman" w:hAnsi="Times New Roman" w:eastAsia="宋体" w:cs="Times New Roman"/>
          <w:color w:val="auto"/>
          <w:kern w:val="2"/>
          <w:sz w:val="18"/>
          <w:szCs w:val="18"/>
          <w:lang w:eastAsia="zh-CN"/>
        </w:rPr>
        <w:t>∶</w:t>
      </w:r>
      <w:r>
        <w:rPr>
          <w:rFonts w:hint="default" w:ascii="Times New Roman" w:hAnsi="Times New Roman" w:eastAsia="宋体" w:cs="Times New Roman"/>
          <w:color w:val="auto"/>
          <w:kern w:val="2"/>
          <w:sz w:val="18"/>
          <w:szCs w:val="18"/>
          <w:lang w:eastAsia="zh-CN"/>
        </w:rPr>
        <w:t>色氨酸；</w:t>
      </w:r>
    </w:p>
    <w:p w14:paraId="0E56F4A2">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default" w:ascii="Times New Roman" w:hAnsi="Times New Roman" w:eastAsia="宋体" w:cs="Times New Roman"/>
          <w:color w:val="auto"/>
          <w:kern w:val="2"/>
          <w:sz w:val="18"/>
          <w:szCs w:val="18"/>
          <w:lang w:eastAsia="zh-CN"/>
        </w:rPr>
      </w:pPr>
      <w:r>
        <w:rPr>
          <w:rFonts w:hint="default" w:ascii="Times New Roman" w:hAnsi="Times New Roman" w:eastAsia="宋体" w:cs="Times New Roman"/>
          <w:color w:val="auto"/>
          <w:kern w:val="2"/>
          <w:sz w:val="18"/>
          <w:szCs w:val="18"/>
          <w:lang w:eastAsia="zh-CN"/>
        </w:rPr>
        <w:t>峰9</w:t>
      </w:r>
      <w:r>
        <w:rPr>
          <w:rFonts w:hint="eastAsia" w:ascii="Times New Roman" w:hAnsi="Times New Roman" w:eastAsia="宋体" w:cs="Times New Roman"/>
          <w:color w:val="auto"/>
          <w:kern w:val="2"/>
          <w:sz w:val="18"/>
          <w:szCs w:val="18"/>
          <w:lang w:eastAsia="zh-CN"/>
        </w:rPr>
        <w:t>∶</w:t>
      </w:r>
      <w:r>
        <w:rPr>
          <w:rFonts w:hint="default" w:ascii="Times New Roman" w:hAnsi="Times New Roman" w:eastAsia="宋体" w:cs="Times New Roman"/>
          <w:color w:val="auto"/>
          <w:kern w:val="2"/>
          <w:sz w:val="18"/>
          <w:szCs w:val="18"/>
          <w:lang w:eastAsia="zh-CN"/>
        </w:rPr>
        <w:t>柯里拉京；峰10（S2）</w:t>
      </w:r>
      <w:r>
        <w:rPr>
          <w:rFonts w:hint="eastAsia" w:ascii="Times New Roman" w:hAnsi="Times New Roman" w:eastAsia="宋体" w:cs="Times New Roman"/>
          <w:color w:val="auto"/>
          <w:kern w:val="2"/>
          <w:sz w:val="18"/>
          <w:szCs w:val="18"/>
          <w:lang w:eastAsia="zh-CN"/>
        </w:rPr>
        <w:t>∶</w:t>
      </w:r>
      <w:r>
        <w:rPr>
          <w:rFonts w:hint="default" w:ascii="Times New Roman" w:hAnsi="Times New Roman" w:eastAsia="宋体" w:cs="Times New Roman"/>
          <w:color w:val="auto"/>
          <w:kern w:val="2"/>
          <w:sz w:val="18"/>
          <w:szCs w:val="18"/>
          <w:lang w:eastAsia="zh-CN"/>
        </w:rPr>
        <w:t>阿魏酸；峰12</w:t>
      </w:r>
      <w:r>
        <w:rPr>
          <w:rFonts w:hint="eastAsia" w:ascii="Times New Roman" w:hAnsi="Times New Roman" w:eastAsia="宋体" w:cs="Times New Roman"/>
          <w:color w:val="auto"/>
          <w:kern w:val="2"/>
          <w:sz w:val="18"/>
          <w:szCs w:val="18"/>
          <w:lang w:eastAsia="zh-CN"/>
        </w:rPr>
        <w:t>∶</w:t>
      </w:r>
      <w:r>
        <w:rPr>
          <w:rFonts w:hint="default" w:ascii="Times New Roman" w:hAnsi="Times New Roman" w:eastAsia="宋体" w:cs="Times New Roman"/>
          <w:color w:val="auto"/>
          <w:kern w:val="2"/>
          <w:sz w:val="18"/>
          <w:szCs w:val="18"/>
          <w:lang w:eastAsia="zh-CN"/>
        </w:rPr>
        <w:t>鞣花酸</w:t>
      </w:r>
    </w:p>
    <w:p w14:paraId="38F3AD04">
      <w:pPr>
        <w:keepNext w:val="0"/>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default" w:ascii="Times New Roman" w:hAnsi="Times New Roman" w:eastAsia="宋体" w:cs="Times New Roman"/>
          <w:color w:val="auto"/>
          <w:kern w:val="2"/>
          <w:sz w:val="18"/>
          <w:szCs w:val="18"/>
          <w:lang w:eastAsia="zh-CN"/>
        </w:rPr>
      </w:pPr>
      <w:r>
        <w:rPr>
          <w:rFonts w:hint="default" w:ascii="Times New Roman" w:hAnsi="Times New Roman" w:eastAsia="宋体" w:cs="Times New Roman"/>
          <w:color w:val="auto"/>
          <w:kern w:val="2"/>
          <w:sz w:val="18"/>
          <w:szCs w:val="18"/>
          <w:lang w:eastAsia="zh-CN"/>
        </w:rPr>
        <w:t>色谱柱</w:t>
      </w:r>
      <w:r>
        <w:rPr>
          <w:rFonts w:hint="eastAsia" w:ascii="Times New Roman" w:hAnsi="Times New Roman" w:eastAsia="宋体" w:cs="Times New Roman"/>
          <w:color w:val="auto"/>
          <w:kern w:val="2"/>
          <w:sz w:val="18"/>
          <w:szCs w:val="18"/>
          <w:lang w:eastAsia="zh-CN"/>
        </w:rPr>
        <w:t>∶</w:t>
      </w:r>
      <w:r>
        <w:rPr>
          <w:rFonts w:hint="default" w:ascii="Times New Roman" w:hAnsi="Times New Roman" w:eastAsia="宋体" w:cs="Times New Roman"/>
          <w:color w:val="auto"/>
          <w:kern w:val="2"/>
          <w:sz w:val="18"/>
          <w:szCs w:val="18"/>
          <w:lang w:eastAsia="zh-CN"/>
        </w:rPr>
        <w:t>ACQUITY UPLC®HSS T3，2.1mm×150mm，1.8μm</w:t>
      </w:r>
    </w:p>
    <w:p w14:paraId="3397B67A">
      <w:pPr>
        <w:keepNext w:val="0"/>
        <w:keepLines w:val="0"/>
        <w:pageBreakBefore w:val="0"/>
        <w:kinsoku/>
        <w:wordWrap/>
        <w:overflowPunct/>
        <w:topLinePunct w:val="0"/>
        <w:autoSpaceDE/>
        <w:autoSpaceDN/>
        <w:bidi w:val="0"/>
        <w:adjustRightInd/>
        <w:snapToGrid/>
        <w:ind w:firstLine="480"/>
        <w:jc w:val="both"/>
        <w:textAlignment w:val="auto"/>
        <w:rPr>
          <w:rFonts w:hint="default" w:ascii="Times New Roman" w:hAnsi="Times New Roman" w:eastAsia="宋体" w:cs="Times New Roman"/>
          <w:sz w:val="21"/>
          <w:szCs w:val="21"/>
        </w:rPr>
      </w:pPr>
      <w:r>
        <w:rPr>
          <w:rFonts w:hint="default" w:ascii="Times New Roman" w:hAnsi="Times New Roman" w:eastAsia="宋体" w:cs="Times New Roman"/>
          <w:sz w:val="21"/>
          <w:szCs w:val="21"/>
          <w:highlight w:val="none"/>
        </w:rPr>
        <w:t>【</w:t>
      </w:r>
      <w:r>
        <w:rPr>
          <w:rFonts w:hint="default" w:ascii="Times New Roman" w:hAnsi="Times New Roman" w:eastAsia="宋体" w:cs="Times New Roman"/>
          <w:b/>
          <w:sz w:val="21"/>
          <w:szCs w:val="21"/>
          <w:highlight w:val="none"/>
        </w:rPr>
        <w:t>检查</w:t>
      </w:r>
      <w:r>
        <w:rPr>
          <w:rFonts w:hint="default" w:ascii="Times New Roman" w:hAnsi="Times New Roman" w:eastAsia="宋体" w:cs="Times New Roman"/>
          <w:sz w:val="21"/>
          <w:szCs w:val="21"/>
          <w:highlight w:val="none"/>
        </w:rPr>
        <w:t xml:space="preserve">】 </w:t>
      </w:r>
      <w:r>
        <w:rPr>
          <w:rFonts w:hint="default" w:ascii="Times New Roman" w:hAnsi="Times New Roman" w:eastAsia="宋体" w:cs="Times New Roman"/>
          <w:b/>
          <w:bCs/>
          <w:sz w:val="21"/>
          <w:szCs w:val="21"/>
          <w:highlight w:val="none"/>
        </w:rPr>
        <w:t>溶化</w:t>
      </w:r>
      <w:r>
        <w:rPr>
          <w:rFonts w:hint="default" w:ascii="Times New Roman" w:hAnsi="Times New Roman" w:eastAsia="宋体" w:cs="Times New Roman"/>
          <w:b/>
          <w:bCs/>
          <w:sz w:val="21"/>
          <w:szCs w:val="21"/>
        </w:rPr>
        <w:t>性</w:t>
      </w:r>
      <w:r>
        <w:rPr>
          <w:rFonts w:hint="default" w:ascii="Times New Roman" w:hAnsi="Times New Roman" w:eastAsia="宋体" w:cs="Times New Roman"/>
          <w:sz w:val="21"/>
          <w:szCs w:val="21"/>
        </w:rPr>
        <w:t xml:space="preserve"> 照颗粒剂溶化性检</w:t>
      </w:r>
      <w:r>
        <w:rPr>
          <w:rFonts w:hint="default" w:ascii="Times New Roman" w:hAnsi="Times New Roman" w:eastAsia="宋体" w:cs="Times New Roman"/>
          <w:sz w:val="21"/>
          <w:szCs w:val="21"/>
          <w:highlight w:val="none"/>
        </w:rPr>
        <w:t>查方法（中国药典2020年版通则0104）检查</w:t>
      </w:r>
      <w:r>
        <w:rPr>
          <w:rFonts w:hint="default" w:ascii="Times New Roman" w:hAnsi="Times New Roman" w:eastAsia="宋体" w:cs="Times New Roman"/>
          <w:sz w:val="21"/>
          <w:szCs w:val="21"/>
        </w:rPr>
        <w:t>，加热水200ml，搅拌5分钟（必要时加热煮沸15分钟），立即观察，应全部融化或轻微浑浊，不得有异物、焦屑。</w:t>
      </w:r>
    </w:p>
    <w:p w14:paraId="014C0A2B">
      <w:pPr>
        <w:keepNext w:val="0"/>
        <w:keepLines w:val="0"/>
        <w:pageBreakBefore w:val="0"/>
        <w:kinsoku/>
        <w:wordWrap/>
        <w:overflowPunct/>
        <w:topLinePunct w:val="0"/>
        <w:autoSpaceDE/>
        <w:autoSpaceDN/>
        <w:bidi w:val="0"/>
        <w:adjustRightInd/>
        <w:snapToGrid/>
        <w:ind w:firstLine="482"/>
        <w:jc w:val="both"/>
        <w:textAlignment w:val="auto"/>
        <w:rPr>
          <w:rFonts w:hint="default" w:ascii="Times New Roman" w:hAnsi="Times New Roman" w:eastAsia="宋体" w:cs="Times New Roman"/>
          <w:sz w:val="21"/>
          <w:szCs w:val="21"/>
        </w:rPr>
      </w:pPr>
      <w:r>
        <w:rPr>
          <w:rFonts w:hint="default" w:ascii="Times New Roman" w:hAnsi="Times New Roman" w:eastAsia="宋体" w:cs="Times New Roman"/>
          <w:b/>
          <w:bCs/>
          <w:color w:val="000000"/>
          <w:sz w:val="21"/>
          <w:szCs w:val="21"/>
        </w:rPr>
        <w:t>其他</w:t>
      </w:r>
      <w:r>
        <w:rPr>
          <w:rFonts w:hint="default" w:ascii="Times New Roman" w:hAnsi="Times New Roman" w:eastAsia="宋体" w:cs="Times New Roman"/>
          <w:color w:val="000000"/>
          <w:sz w:val="21"/>
          <w:szCs w:val="21"/>
        </w:rPr>
        <w:t xml:space="preserve"> 应符合颗粒剂项下有关的各项规定（</w:t>
      </w:r>
      <w:r>
        <w:rPr>
          <w:rFonts w:hint="default" w:ascii="Times New Roman" w:hAnsi="Times New Roman" w:eastAsia="宋体" w:cs="Times New Roman"/>
          <w:sz w:val="21"/>
          <w:szCs w:val="21"/>
        </w:rPr>
        <w:t>中国药典</w:t>
      </w:r>
      <w:r>
        <w:rPr>
          <w:rFonts w:hint="default" w:ascii="Times New Roman" w:hAnsi="Times New Roman" w:eastAsia="宋体" w:cs="Times New Roman"/>
          <w:color w:val="000000"/>
          <w:sz w:val="21"/>
          <w:szCs w:val="21"/>
        </w:rPr>
        <w:t>2020年版通则0104）。</w:t>
      </w:r>
    </w:p>
    <w:p w14:paraId="774134D6">
      <w:pPr>
        <w:keepNext w:val="0"/>
        <w:keepLines w:val="0"/>
        <w:pageBreakBefore w:val="0"/>
        <w:kinsoku/>
        <w:wordWrap/>
        <w:overflowPunct/>
        <w:topLinePunct w:val="0"/>
        <w:autoSpaceDE/>
        <w:autoSpaceDN/>
        <w:bidi w:val="0"/>
        <w:adjustRightInd/>
        <w:snapToGrid/>
        <w:ind w:firstLine="480"/>
        <w:jc w:val="both"/>
        <w:textAlignment w:val="auto"/>
        <w:rPr>
          <w:rFonts w:hint="default" w:ascii="Times New Roman" w:hAnsi="Times New Roman" w:eastAsia="宋体" w:cs="Times New Roman"/>
          <w:color w:val="FF0000"/>
          <w:sz w:val="21"/>
          <w:szCs w:val="21"/>
        </w:rPr>
      </w:pPr>
      <w:r>
        <w:rPr>
          <w:rFonts w:hint="default" w:ascii="Times New Roman" w:hAnsi="Times New Roman" w:eastAsia="宋体" w:cs="Times New Roman"/>
          <w:sz w:val="21"/>
          <w:szCs w:val="21"/>
        </w:rPr>
        <w:t>【</w:t>
      </w:r>
      <w:r>
        <w:rPr>
          <w:rFonts w:hint="default" w:ascii="Times New Roman" w:hAnsi="Times New Roman" w:eastAsia="宋体" w:cs="Times New Roman"/>
          <w:b/>
          <w:sz w:val="21"/>
          <w:szCs w:val="21"/>
        </w:rPr>
        <w:t>浸出物</w:t>
      </w:r>
      <w:r>
        <w:rPr>
          <w:rFonts w:hint="default" w:ascii="Times New Roman" w:hAnsi="Times New Roman" w:eastAsia="宋体" w:cs="Times New Roman"/>
          <w:sz w:val="21"/>
          <w:szCs w:val="21"/>
        </w:rPr>
        <w:t>】 照醇溶性浸出物测定法（中国药典2020年版通则2201）项下的热浸法测定，用90%乙醇作溶剂，应不得少于9.0%。</w:t>
      </w:r>
    </w:p>
    <w:p w14:paraId="3C4A5B0F">
      <w:pPr>
        <w:keepNext w:val="0"/>
        <w:keepLines w:val="0"/>
        <w:pageBreakBefore w:val="0"/>
        <w:kinsoku/>
        <w:wordWrap/>
        <w:overflowPunct/>
        <w:topLinePunct w:val="0"/>
        <w:autoSpaceDE/>
        <w:autoSpaceDN/>
        <w:bidi w:val="0"/>
        <w:adjustRightInd/>
        <w:snapToGrid/>
        <w:ind w:firstLine="482"/>
        <w:jc w:val="both"/>
        <w:textAlignment w:val="auto"/>
        <w:rPr>
          <w:rFonts w:hint="default" w:ascii="Times New Roman" w:hAnsi="Times New Roman" w:eastAsia="宋体" w:cs="Times New Roman"/>
          <w:bCs/>
          <w:color w:val="000000"/>
          <w:kern w:val="0"/>
          <w:sz w:val="21"/>
          <w:szCs w:val="21"/>
        </w:rPr>
      </w:pPr>
      <w:r>
        <w:rPr>
          <w:rFonts w:hint="default" w:ascii="Times New Roman" w:hAnsi="Times New Roman" w:eastAsia="宋体" w:cs="Times New Roman"/>
          <w:b/>
          <w:sz w:val="21"/>
          <w:szCs w:val="21"/>
          <w:highlight w:val="none"/>
        </w:rPr>
        <w:t>【含量测定】</w:t>
      </w:r>
      <w:r>
        <w:rPr>
          <w:rFonts w:hint="eastAsia" w:cs="Times New Roman"/>
          <w:b/>
          <w:sz w:val="21"/>
          <w:szCs w:val="21"/>
          <w:highlight w:val="none"/>
          <w:lang w:val="en-US" w:eastAsia="zh-CN"/>
        </w:rPr>
        <w:t xml:space="preserve"> </w:t>
      </w:r>
      <w:r>
        <w:rPr>
          <w:rFonts w:hint="default" w:ascii="Times New Roman" w:hAnsi="Times New Roman" w:eastAsia="宋体" w:cs="Times New Roman"/>
          <w:b/>
          <w:sz w:val="21"/>
          <w:szCs w:val="21"/>
          <w:highlight w:val="none"/>
        </w:rPr>
        <w:t>总黄酮</w:t>
      </w:r>
      <w:r>
        <w:rPr>
          <w:rFonts w:hint="default" w:ascii="Times New Roman" w:hAnsi="Times New Roman" w:eastAsia="宋体" w:cs="Times New Roman"/>
          <w:b/>
          <w:bCs/>
          <w:color w:val="000000"/>
          <w:kern w:val="0"/>
          <w:sz w:val="21"/>
          <w:szCs w:val="21"/>
          <w:highlight w:val="none"/>
        </w:rPr>
        <w:t xml:space="preserve"> </w:t>
      </w:r>
      <w:r>
        <w:rPr>
          <w:rFonts w:hint="default" w:ascii="Times New Roman" w:hAnsi="Times New Roman" w:eastAsia="宋体" w:cs="Times New Roman"/>
          <w:bCs/>
          <w:color w:val="000000"/>
          <w:kern w:val="0"/>
          <w:sz w:val="21"/>
          <w:szCs w:val="21"/>
        </w:rPr>
        <w:t>照紫外-可见分光光度法（</w:t>
      </w:r>
      <w:r>
        <w:rPr>
          <w:rFonts w:hint="default" w:ascii="Times New Roman" w:hAnsi="Times New Roman" w:eastAsia="宋体" w:cs="Times New Roman"/>
          <w:sz w:val="21"/>
          <w:szCs w:val="21"/>
        </w:rPr>
        <w:t>中国药典</w:t>
      </w:r>
      <w:r>
        <w:rPr>
          <w:rFonts w:hint="default" w:ascii="Times New Roman" w:hAnsi="Times New Roman" w:eastAsia="宋体" w:cs="Times New Roman"/>
          <w:bCs/>
          <w:color w:val="000000"/>
          <w:kern w:val="0"/>
          <w:sz w:val="21"/>
          <w:szCs w:val="21"/>
        </w:rPr>
        <w:t>2020年版通则0401）测定。</w:t>
      </w:r>
    </w:p>
    <w:p w14:paraId="0B942179">
      <w:pPr>
        <w:keepNext w:val="0"/>
        <w:keepLines w:val="0"/>
        <w:pageBreakBefore w:val="0"/>
        <w:kinsoku/>
        <w:wordWrap/>
        <w:overflowPunct/>
        <w:topLinePunct w:val="0"/>
        <w:autoSpaceDE/>
        <w:autoSpaceDN/>
        <w:bidi w:val="0"/>
        <w:adjustRightInd/>
        <w:snapToGrid/>
        <w:ind w:firstLine="482"/>
        <w:jc w:val="both"/>
        <w:textAlignment w:val="auto"/>
        <w:rPr>
          <w:rFonts w:hint="default" w:ascii="Times New Roman" w:hAnsi="Times New Roman" w:eastAsia="宋体" w:cs="Times New Roman"/>
          <w:bCs/>
          <w:color w:val="FF0000"/>
          <w:kern w:val="0"/>
          <w:sz w:val="21"/>
          <w:szCs w:val="21"/>
        </w:rPr>
      </w:pPr>
      <w:r>
        <w:rPr>
          <w:rFonts w:hint="default" w:ascii="Times New Roman" w:hAnsi="Times New Roman" w:eastAsia="宋体" w:cs="Times New Roman"/>
          <w:b/>
          <w:bCs/>
          <w:color w:val="000000"/>
          <w:kern w:val="0"/>
          <w:sz w:val="21"/>
          <w:szCs w:val="21"/>
        </w:rPr>
        <w:t xml:space="preserve">对照品溶液的制备 </w:t>
      </w:r>
      <w:r>
        <w:rPr>
          <w:rFonts w:hint="default" w:ascii="Times New Roman" w:hAnsi="Times New Roman" w:eastAsia="宋体" w:cs="Times New Roman"/>
          <w:bCs/>
          <w:kern w:val="0"/>
          <w:sz w:val="21"/>
          <w:szCs w:val="21"/>
        </w:rPr>
        <w:t>取芦丁对照品适量，精密称定，加50%乙醇制成每1ml含1.0mg的溶液，即得。</w:t>
      </w:r>
    </w:p>
    <w:p w14:paraId="4CD4DC53">
      <w:pPr>
        <w:keepNext w:val="0"/>
        <w:keepLines w:val="0"/>
        <w:pageBreakBefore w:val="0"/>
        <w:kinsoku/>
        <w:wordWrap/>
        <w:overflowPunct/>
        <w:topLinePunct w:val="0"/>
        <w:autoSpaceDE/>
        <w:autoSpaceDN/>
        <w:bidi w:val="0"/>
        <w:adjustRightInd/>
        <w:snapToGrid/>
        <w:ind w:firstLine="482"/>
        <w:jc w:val="both"/>
        <w:textAlignment w:val="auto"/>
        <w:rPr>
          <w:rFonts w:hint="default" w:ascii="Times New Roman" w:hAnsi="Times New Roman" w:eastAsia="宋体" w:cs="Times New Roman"/>
          <w:bCs/>
          <w:color w:val="000000"/>
          <w:kern w:val="0"/>
          <w:sz w:val="21"/>
          <w:szCs w:val="21"/>
        </w:rPr>
      </w:pPr>
      <w:r>
        <w:rPr>
          <w:rFonts w:hint="default" w:ascii="Times New Roman" w:hAnsi="Times New Roman" w:eastAsia="宋体" w:cs="Times New Roman"/>
          <w:b/>
          <w:bCs/>
          <w:kern w:val="0"/>
          <w:sz w:val="21"/>
          <w:szCs w:val="21"/>
        </w:rPr>
        <w:t xml:space="preserve">标准曲线的制备 </w:t>
      </w:r>
      <w:r>
        <w:rPr>
          <w:rFonts w:hint="default" w:ascii="Times New Roman" w:hAnsi="Times New Roman" w:eastAsia="宋体" w:cs="Times New Roman"/>
          <w:bCs/>
          <w:kern w:val="0"/>
          <w:sz w:val="21"/>
          <w:szCs w:val="21"/>
        </w:rPr>
        <w:t>精密量取对照品溶液2.0ml、1.6ml、1.2ml、0.8ml、0.4ml、0.2ml，分别置于25ml容量瓶中，加水补至6ml，加5％亚硝酸钠溶液1ml，摇匀，放置6分钟；加10</w:t>
      </w:r>
      <w:r>
        <w:rPr>
          <w:rFonts w:hint="eastAsia" w:cs="Times New Roman"/>
          <w:bCs/>
          <w:kern w:val="0"/>
          <w:sz w:val="21"/>
          <w:szCs w:val="21"/>
          <w:lang w:val="en-US" w:eastAsia="zh-CN"/>
        </w:rPr>
        <w:t>%</w:t>
      </w:r>
      <w:r>
        <w:rPr>
          <w:rFonts w:hint="default" w:ascii="Times New Roman" w:hAnsi="Times New Roman" w:eastAsia="宋体" w:cs="Times New Roman"/>
          <w:bCs/>
          <w:kern w:val="0"/>
          <w:sz w:val="21"/>
          <w:szCs w:val="21"/>
        </w:rPr>
        <w:t>硝酸</w:t>
      </w:r>
      <w:bookmarkStart w:id="0" w:name="_GoBack"/>
      <w:bookmarkEnd w:id="0"/>
      <w:r>
        <w:rPr>
          <w:rFonts w:hint="default" w:ascii="Times New Roman" w:hAnsi="Times New Roman" w:eastAsia="宋体" w:cs="Times New Roman"/>
          <w:bCs/>
          <w:kern w:val="0"/>
          <w:sz w:val="21"/>
          <w:szCs w:val="21"/>
        </w:rPr>
        <w:t>铝溶液1ml，摇匀，放置6分钟；再加氢氧化钠试液10ml，用50%乙醇定容至刻度，摇匀，放置15分钟，以相应的试剂为空白，照紫外</w:t>
      </w:r>
      <w:r>
        <w:rPr>
          <w:rFonts w:hint="default" w:ascii="Times New Roman" w:hAnsi="Times New Roman" w:eastAsia="宋体" w:cs="Times New Roman"/>
          <w:bCs/>
          <w:kern w:val="0"/>
          <w:sz w:val="21"/>
          <w:szCs w:val="21"/>
          <w:lang w:val="en-US" w:eastAsia="zh-CN"/>
        </w:rPr>
        <w:t>-</w:t>
      </w:r>
      <w:r>
        <w:rPr>
          <w:rFonts w:hint="default" w:ascii="Times New Roman" w:hAnsi="Times New Roman" w:eastAsia="宋体" w:cs="Times New Roman"/>
          <w:bCs/>
          <w:kern w:val="0"/>
          <w:sz w:val="21"/>
          <w:szCs w:val="21"/>
        </w:rPr>
        <w:t>可见分光光度法（</w:t>
      </w:r>
      <w:r>
        <w:rPr>
          <w:rFonts w:hint="default" w:ascii="Times New Roman" w:hAnsi="Times New Roman" w:eastAsia="宋体" w:cs="Times New Roman"/>
          <w:sz w:val="21"/>
          <w:szCs w:val="21"/>
        </w:rPr>
        <w:t>中国药典</w:t>
      </w:r>
      <w:r>
        <w:rPr>
          <w:rFonts w:hint="default" w:ascii="Times New Roman" w:hAnsi="Times New Roman" w:eastAsia="宋体" w:cs="Times New Roman"/>
          <w:bCs/>
          <w:color w:val="000000"/>
          <w:kern w:val="0"/>
          <w:sz w:val="21"/>
          <w:szCs w:val="21"/>
        </w:rPr>
        <w:t>2020年版</w:t>
      </w:r>
      <w:r>
        <w:rPr>
          <w:rFonts w:hint="default" w:ascii="Times New Roman" w:hAnsi="Times New Roman" w:eastAsia="宋体" w:cs="Times New Roman"/>
          <w:bCs/>
          <w:kern w:val="0"/>
          <w:sz w:val="21"/>
          <w:szCs w:val="21"/>
        </w:rPr>
        <w:t>通则0401)，在510nm波长处测定吸光度，以吸光度为纵坐标，浓度为横坐标，绘制标准曲线。</w:t>
      </w:r>
    </w:p>
    <w:p w14:paraId="1D152CED">
      <w:pPr>
        <w:keepNext w:val="0"/>
        <w:keepLines w:val="0"/>
        <w:pageBreakBefore w:val="0"/>
        <w:kinsoku/>
        <w:wordWrap/>
        <w:overflowPunct/>
        <w:topLinePunct w:val="0"/>
        <w:autoSpaceDE/>
        <w:autoSpaceDN/>
        <w:bidi w:val="0"/>
        <w:adjustRightInd/>
        <w:snapToGrid/>
        <w:ind w:firstLine="482"/>
        <w:jc w:val="both"/>
        <w:textAlignment w:val="auto"/>
        <w:rPr>
          <w:rFonts w:hint="default" w:ascii="Times New Roman" w:hAnsi="Times New Roman" w:eastAsia="宋体" w:cs="Times New Roman"/>
          <w:bCs/>
          <w:color w:val="000000"/>
          <w:kern w:val="0"/>
          <w:sz w:val="21"/>
          <w:szCs w:val="21"/>
        </w:rPr>
      </w:pPr>
      <w:r>
        <w:rPr>
          <w:rFonts w:hint="default" w:ascii="Times New Roman" w:hAnsi="Times New Roman" w:eastAsia="宋体" w:cs="Times New Roman"/>
          <w:b/>
          <w:bCs/>
          <w:color w:val="000000"/>
          <w:kern w:val="0"/>
          <w:sz w:val="21"/>
          <w:szCs w:val="21"/>
        </w:rPr>
        <w:t>测定法</w:t>
      </w:r>
      <w:r>
        <w:rPr>
          <w:rFonts w:hint="default" w:ascii="Times New Roman" w:hAnsi="Times New Roman" w:eastAsia="宋体" w:cs="Times New Roman"/>
          <w:bCs/>
          <w:color w:val="000000"/>
          <w:kern w:val="0"/>
          <w:sz w:val="21"/>
          <w:szCs w:val="21"/>
        </w:rPr>
        <w:t xml:space="preserve"> 取本品适量，研细，取约2.0g，精密称定，置50ml锥形瓶中，精密加入50%乙醇25ml，称定重量，加热回流30分钟，</w:t>
      </w:r>
      <w:r>
        <w:rPr>
          <w:rFonts w:hint="default" w:ascii="Times New Roman" w:hAnsi="Times New Roman" w:eastAsia="宋体" w:cs="Times New Roman"/>
          <w:bCs/>
          <w:kern w:val="0"/>
          <w:sz w:val="21"/>
          <w:szCs w:val="21"/>
        </w:rPr>
        <w:t>放冷，再</w:t>
      </w:r>
      <w:r>
        <w:rPr>
          <w:rFonts w:hint="default" w:ascii="Times New Roman" w:hAnsi="Times New Roman" w:eastAsia="宋体" w:cs="Times New Roman"/>
          <w:sz w:val="21"/>
          <w:szCs w:val="21"/>
        </w:rPr>
        <w:t>称定重量，用</w:t>
      </w:r>
      <w:r>
        <w:rPr>
          <w:rFonts w:hint="default" w:ascii="Times New Roman" w:hAnsi="Times New Roman" w:eastAsia="宋体" w:cs="Times New Roman"/>
          <w:bCs/>
          <w:kern w:val="0"/>
          <w:sz w:val="21"/>
          <w:szCs w:val="21"/>
        </w:rPr>
        <w:t>50%乙醇</w:t>
      </w:r>
      <w:r>
        <w:rPr>
          <w:rFonts w:hint="default" w:ascii="Times New Roman" w:hAnsi="Times New Roman" w:eastAsia="宋体" w:cs="Times New Roman"/>
          <w:sz w:val="21"/>
          <w:szCs w:val="21"/>
        </w:rPr>
        <w:t>补足减失的重量</w:t>
      </w:r>
      <w:r>
        <w:rPr>
          <w:rFonts w:hint="default" w:ascii="Times New Roman" w:hAnsi="Times New Roman" w:eastAsia="宋体" w:cs="Times New Roman"/>
          <w:bCs/>
          <w:kern w:val="0"/>
          <w:sz w:val="21"/>
          <w:szCs w:val="21"/>
        </w:rPr>
        <w:t>，摇匀，滤过</w:t>
      </w:r>
      <w:r>
        <w:rPr>
          <w:rFonts w:hint="default" w:ascii="Times New Roman" w:hAnsi="Times New Roman" w:eastAsia="宋体" w:cs="Times New Roman"/>
          <w:bCs/>
          <w:color w:val="000000"/>
          <w:kern w:val="0"/>
          <w:sz w:val="21"/>
          <w:szCs w:val="21"/>
        </w:rPr>
        <w:t>，作为供试品溶液。精密量取供试品溶液2ml，置于25ml容量瓶中，照标准曲线制备项下的方法，自</w:t>
      </w:r>
      <w:r>
        <w:rPr>
          <w:rFonts w:hint="eastAsia" w:cs="Times New Roman"/>
          <w:bCs/>
          <w:color w:val="000000"/>
          <w:kern w:val="0"/>
          <w:sz w:val="21"/>
          <w:szCs w:val="21"/>
          <w:lang w:eastAsia="zh-CN"/>
        </w:rPr>
        <w:t>“</w:t>
      </w:r>
      <w:r>
        <w:rPr>
          <w:rFonts w:hint="default" w:ascii="Times New Roman" w:hAnsi="Times New Roman" w:eastAsia="宋体" w:cs="Times New Roman"/>
          <w:bCs/>
          <w:color w:val="000000"/>
          <w:kern w:val="0"/>
          <w:sz w:val="21"/>
          <w:szCs w:val="21"/>
        </w:rPr>
        <w:t>加水补至6ml</w:t>
      </w:r>
      <w:r>
        <w:rPr>
          <w:rFonts w:hint="eastAsia" w:cs="Times New Roman"/>
          <w:bCs/>
          <w:color w:val="000000"/>
          <w:kern w:val="0"/>
          <w:sz w:val="21"/>
          <w:szCs w:val="21"/>
          <w:lang w:eastAsia="zh-CN"/>
        </w:rPr>
        <w:t>”</w:t>
      </w:r>
      <w:r>
        <w:rPr>
          <w:rFonts w:hint="default" w:ascii="Times New Roman" w:hAnsi="Times New Roman" w:eastAsia="宋体" w:cs="Times New Roman"/>
          <w:bCs/>
          <w:color w:val="000000"/>
          <w:kern w:val="0"/>
          <w:sz w:val="21"/>
          <w:szCs w:val="21"/>
        </w:rPr>
        <w:t>起，依法测定吸光度，</w:t>
      </w:r>
      <w:r>
        <w:rPr>
          <w:rFonts w:hint="default" w:ascii="Times New Roman" w:hAnsi="Times New Roman" w:eastAsia="宋体" w:cs="Times New Roman"/>
          <w:bCs/>
          <w:kern w:val="0"/>
          <w:sz w:val="21"/>
          <w:szCs w:val="21"/>
        </w:rPr>
        <w:t>以相应的试剂为空白</w:t>
      </w:r>
      <w:r>
        <w:rPr>
          <w:rFonts w:hint="default" w:ascii="Times New Roman" w:hAnsi="Times New Roman" w:eastAsia="宋体" w:cs="Times New Roman"/>
          <w:bCs/>
          <w:color w:val="000000"/>
          <w:kern w:val="0"/>
          <w:sz w:val="21"/>
          <w:szCs w:val="21"/>
        </w:rPr>
        <w:t>。从标准曲线上读出供试品溶液中芦丁的量，计算，即得。</w:t>
      </w:r>
    </w:p>
    <w:p w14:paraId="50695298">
      <w:pPr>
        <w:keepNext w:val="0"/>
        <w:keepLines w:val="0"/>
        <w:pageBreakBefore w:val="0"/>
        <w:kinsoku/>
        <w:wordWrap/>
        <w:overflowPunct/>
        <w:topLinePunct w:val="0"/>
        <w:autoSpaceDE/>
        <w:autoSpaceDN/>
        <w:bidi w:val="0"/>
        <w:adjustRightInd/>
        <w:snapToGrid/>
        <w:ind w:firstLine="480"/>
        <w:jc w:val="both"/>
        <w:textAlignment w:val="auto"/>
        <w:rPr>
          <w:rFonts w:hint="default" w:ascii="Times New Roman" w:hAnsi="Times New Roman" w:eastAsia="宋体" w:cs="Times New Roman"/>
          <w:bCs/>
          <w:color w:val="FF0000"/>
          <w:kern w:val="0"/>
          <w:sz w:val="21"/>
          <w:szCs w:val="21"/>
        </w:rPr>
      </w:pPr>
      <w:r>
        <w:rPr>
          <w:rFonts w:hint="default" w:ascii="Times New Roman" w:hAnsi="Times New Roman" w:eastAsia="宋体" w:cs="Times New Roman"/>
          <w:bCs/>
          <w:color w:val="000000"/>
          <w:kern w:val="0"/>
          <w:sz w:val="21"/>
          <w:szCs w:val="21"/>
        </w:rPr>
        <w:t>本品每1g含总黄酮以芦丁（C</w:t>
      </w:r>
      <w:r>
        <w:rPr>
          <w:rFonts w:hint="default" w:ascii="Times New Roman" w:hAnsi="Times New Roman" w:eastAsia="宋体" w:cs="Times New Roman"/>
          <w:bCs/>
          <w:color w:val="000000"/>
          <w:kern w:val="0"/>
          <w:sz w:val="21"/>
          <w:szCs w:val="21"/>
          <w:vertAlign w:val="subscript"/>
        </w:rPr>
        <w:t>27</w:t>
      </w:r>
      <w:r>
        <w:rPr>
          <w:rFonts w:hint="default" w:ascii="Times New Roman" w:hAnsi="Times New Roman" w:eastAsia="宋体" w:cs="Times New Roman"/>
          <w:bCs/>
          <w:color w:val="000000"/>
          <w:kern w:val="0"/>
          <w:sz w:val="21"/>
          <w:szCs w:val="21"/>
        </w:rPr>
        <w:t>H</w:t>
      </w:r>
      <w:r>
        <w:rPr>
          <w:rFonts w:hint="default" w:ascii="Times New Roman" w:hAnsi="Times New Roman" w:eastAsia="宋体" w:cs="Times New Roman"/>
          <w:bCs/>
          <w:color w:val="000000"/>
          <w:kern w:val="0"/>
          <w:sz w:val="21"/>
          <w:szCs w:val="21"/>
          <w:vertAlign w:val="subscript"/>
        </w:rPr>
        <w:t>30</w:t>
      </w:r>
      <w:r>
        <w:rPr>
          <w:rFonts w:hint="default" w:ascii="Times New Roman" w:hAnsi="Times New Roman" w:eastAsia="宋体" w:cs="Times New Roman"/>
          <w:bCs/>
          <w:color w:val="000000"/>
          <w:kern w:val="0"/>
          <w:sz w:val="21"/>
          <w:szCs w:val="21"/>
        </w:rPr>
        <w:t>O</w:t>
      </w:r>
      <w:r>
        <w:rPr>
          <w:rFonts w:hint="default" w:ascii="Times New Roman" w:hAnsi="Times New Roman" w:eastAsia="宋体" w:cs="Times New Roman"/>
          <w:bCs/>
          <w:color w:val="000000"/>
          <w:kern w:val="0"/>
          <w:sz w:val="21"/>
          <w:szCs w:val="21"/>
          <w:vertAlign w:val="subscript"/>
        </w:rPr>
        <w:t>16</w:t>
      </w:r>
      <w:r>
        <w:rPr>
          <w:rFonts w:hint="default" w:ascii="Times New Roman" w:hAnsi="Times New Roman" w:eastAsia="宋体" w:cs="Times New Roman"/>
          <w:bCs/>
          <w:color w:val="000000"/>
          <w:kern w:val="0"/>
          <w:sz w:val="21"/>
          <w:szCs w:val="21"/>
        </w:rPr>
        <w:t>）计，应为3.30</w:t>
      </w:r>
      <w:r>
        <w:rPr>
          <w:rFonts w:hint="default" w:ascii="Times New Roman" w:hAnsi="Times New Roman" w:eastAsia="宋体" w:cs="Times New Roman"/>
          <w:bCs/>
          <w:kern w:val="0"/>
          <w:sz w:val="21"/>
          <w:szCs w:val="21"/>
        </w:rPr>
        <w:t>mg~7.70mg</w:t>
      </w:r>
      <w:r>
        <w:rPr>
          <w:rFonts w:hint="default" w:ascii="Times New Roman" w:hAnsi="Times New Roman" w:eastAsia="宋体" w:cs="Times New Roman"/>
          <w:bCs/>
          <w:kern w:val="0"/>
          <w:sz w:val="21"/>
          <w:szCs w:val="21"/>
        </w:rPr>
        <w:t>。</w:t>
      </w:r>
    </w:p>
    <w:p w14:paraId="73926A88">
      <w:pPr>
        <w:keepNext w:val="0"/>
        <w:keepLines w:val="0"/>
        <w:pageBreakBefore w:val="0"/>
        <w:kinsoku/>
        <w:wordWrap/>
        <w:overflowPunct/>
        <w:topLinePunct w:val="0"/>
        <w:autoSpaceDE/>
        <w:autoSpaceDN/>
        <w:bidi w:val="0"/>
        <w:adjustRightInd/>
        <w:snapToGrid/>
        <w:ind w:firstLine="482"/>
        <w:jc w:val="both"/>
        <w:textAlignment w:val="auto"/>
        <w:rPr>
          <w:rFonts w:hint="default" w:ascii="Times New Roman" w:hAnsi="Times New Roman" w:eastAsia="宋体" w:cs="Times New Roman"/>
          <w:bCs/>
          <w:color w:val="000000"/>
          <w:sz w:val="21"/>
          <w:szCs w:val="21"/>
        </w:rPr>
      </w:pPr>
      <w:r>
        <w:rPr>
          <w:rFonts w:hint="default" w:ascii="Times New Roman" w:hAnsi="Times New Roman" w:eastAsia="宋体" w:cs="Times New Roman"/>
          <w:b/>
          <w:bCs/>
          <w:color w:val="000000"/>
          <w:kern w:val="0"/>
          <w:sz w:val="21"/>
          <w:szCs w:val="21"/>
        </w:rPr>
        <w:t xml:space="preserve">没食子酸 </w:t>
      </w:r>
      <w:r>
        <w:rPr>
          <w:rFonts w:hint="default" w:ascii="Times New Roman" w:hAnsi="Times New Roman" w:eastAsia="宋体" w:cs="Times New Roman"/>
          <w:bCs/>
          <w:color w:val="000000"/>
          <w:sz w:val="21"/>
          <w:szCs w:val="21"/>
        </w:rPr>
        <w:t>照高效液相色谱法（</w:t>
      </w:r>
      <w:r>
        <w:rPr>
          <w:rFonts w:hint="default" w:ascii="Times New Roman" w:hAnsi="Times New Roman" w:eastAsia="宋体" w:cs="Times New Roman"/>
          <w:sz w:val="21"/>
          <w:szCs w:val="21"/>
        </w:rPr>
        <w:t>中国药典</w:t>
      </w:r>
      <w:r>
        <w:rPr>
          <w:rFonts w:hint="default" w:ascii="Times New Roman" w:hAnsi="Times New Roman" w:eastAsia="宋体" w:cs="Times New Roman"/>
          <w:color w:val="000000"/>
          <w:sz w:val="21"/>
          <w:szCs w:val="21"/>
        </w:rPr>
        <w:t>2020</w:t>
      </w:r>
      <w:r>
        <w:rPr>
          <w:rFonts w:hint="default" w:ascii="Times New Roman" w:hAnsi="Times New Roman" w:eastAsia="宋体" w:cs="Times New Roman"/>
          <w:bCs/>
          <w:color w:val="000000"/>
          <w:sz w:val="21"/>
          <w:szCs w:val="21"/>
        </w:rPr>
        <w:t>年版通则</w:t>
      </w:r>
      <w:r>
        <w:rPr>
          <w:rFonts w:hint="default" w:ascii="Times New Roman" w:hAnsi="Times New Roman" w:eastAsia="宋体" w:cs="Times New Roman"/>
          <w:color w:val="000000"/>
          <w:sz w:val="21"/>
          <w:szCs w:val="21"/>
        </w:rPr>
        <w:t>0512</w:t>
      </w:r>
      <w:r>
        <w:rPr>
          <w:rFonts w:hint="default" w:ascii="Times New Roman" w:hAnsi="Times New Roman" w:eastAsia="宋体" w:cs="Times New Roman"/>
          <w:bCs/>
          <w:color w:val="000000"/>
          <w:sz w:val="21"/>
          <w:szCs w:val="21"/>
        </w:rPr>
        <w:t>）测定。</w:t>
      </w:r>
    </w:p>
    <w:p w14:paraId="530DD107">
      <w:pPr>
        <w:keepNext w:val="0"/>
        <w:keepLines w:val="0"/>
        <w:pageBreakBefore w:val="0"/>
        <w:kinsoku/>
        <w:wordWrap/>
        <w:overflowPunct/>
        <w:topLinePunct w:val="0"/>
        <w:autoSpaceDE/>
        <w:autoSpaceDN/>
        <w:bidi w:val="0"/>
        <w:adjustRightInd/>
        <w:snapToGrid/>
        <w:ind w:firstLine="413" w:firstLineChars="196"/>
        <w:jc w:val="both"/>
        <w:textAlignment w:val="auto"/>
        <w:rPr>
          <w:rFonts w:hint="default" w:ascii="Times New Roman" w:hAnsi="Times New Roman" w:eastAsia="宋体" w:cs="Times New Roman"/>
          <w:sz w:val="21"/>
          <w:szCs w:val="21"/>
        </w:rPr>
      </w:pPr>
      <w:r>
        <w:rPr>
          <w:rFonts w:hint="default" w:ascii="Times New Roman" w:hAnsi="Times New Roman" w:eastAsia="宋体" w:cs="Times New Roman"/>
          <w:b/>
          <w:sz w:val="21"/>
          <w:szCs w:val="21"/>
        </w:rPr>
        <w:t>色谱条件与系统适应性试验</w:t>
      </w:r>
      <w:r>
        <w:rPr>
          <w:rFonts w:hint="eastAsia" w:cs="Times New Roman"/>
          <w:b/>
          <w:bCs/>
          <w:color w:val="000000"/>
          <w:kern w:val="0"/>
          <w:sz w:val="21"/>
          <w:szCs w:val="21"/>
          <w:lang w:val="en-US" w:eastAsia="zh-CN"/>
        </w:rPr>
        <w:t xml:space="preserve"> </w:t>
      </w:r>
      <w:r>
        <w:rPr>
          <w:rFonts w:hint="default" w:ascii="Times New Roman" w:hAnsi="Times New Roman" w:eastAsia="宋体" w:cs="Times New Roman"/>
          <w:sz w:val="21"/>
          <w:szCs w:val="21"/>
        </w:rPr>
        <w:t>以十八烷基硅烷键合硅胶为填充剂（柱长为150mm，内径为2.1mm，粒径为1.8μm）；以乙腈为流动相A，以0.1%磷酸为流动相B，按下表中的规定进行梯度洗脱；柱温为40℃；检测波长为272nm；理论板数按没食子酸峰计算应不低于10000。</w:t>
      </w:r>
    </w:p>
    <w:tbl>
      <w:tblPr>
        <w:tblStyle w:val="9"/>
        <w:tblW w:w="4656" w:type="pct"/>
        <w:jc w:val="center"/>
        <w:tblBorders>
          <w:top w:val="none" w:color="auto" w:sz="0" w:space="0"/>
          <w:left w:val="none" w:color="auto" w:sz="0" w:space="0"/>
          <w:bottom w:val="none" w:color="auto" w:sz="0" w:space="0"/>
          <w:right w:val="none" w:color="auto" w:sz="0" w:space="0"/>
          <w:insideH w:val="single" w:color="auto" w:sz="4" w:space="0"/>
          <w:insideV w:val="none" w:color="auto" w:sz="0" w:space="0"/>
        </w:tblBorders>
        <w:tblLayout w:type="autofit"/>
        <w:tblCellMar>
          <w:top w:w="0" w:type="dxa"/>
          <w:left w:w="108" w:type="dxa"/>
          <w:bottom w:w="0" w:type="dxa"/>
          <w:right w:w="108" w:type="dxa"/>
        </w:tblCellMar>
      </w:tblPr>
      <w:tblGrid>
        <w:gridCol w:w="1984"/>
        <w:gridCol w:w="1984"/>
        <w:gridCol w:w="1984"/>
        <w:gridCol w:w="1984"/>
      </w:tblGrid>
      <w:tr w14:paraId="27F64300">
        <w:tblPrEx>
          <w:tblBorders>
            <w:top w:val="none" w:color="auto" w:sz="0" w:space="0"/>
            <w:left w:val="none" w:color="auto" w:sz="0" w:space="0"/>
            <w:bottom w:val="none" w:color="auto" w:sz="0" w:space="0"/>
            <w:right w:val="none" w:color="auto" w:sz="0" w:space="0"/>
            <w:insideH w:val="single" w:color="auto" w:sz="4" w:space="0"/>
            <w:insideV w:val="none" w:color="auto" w:sz="0" w:space="0"/>
          </w:tblBorders>
          <w:tblCellMar>
            <w:top w:w="0" w:type="dxa"/>
            <w:left w:w="108" w:type="dxa"/>
            <w:bottom w:w="0" w:type="dxa"/>
            <w:right w:w="108" w:type="dxa"/>
          </w:tblCellMar>
        </w:tblPrEx>
        <w:trPr>
          <w:trHeight w:val="312" w:hRule="atLeast"/>
          <w:jc w:val="center"/>
        </w:trPr>
        <w:tc>
          <w:tcPr>
            <w:tcW w:w="1984" w:type="dxa"/>
            <w:tcBorders>
              <w:top w:val="single" w:color="auto" w:sz="4" w:space="0"/>
            </w:tcBorders>
            <w:vAlign w:val="center"/>
          </w:tcPr>
          <w:p w14:paraId="5418C97E">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default" w:ascii="Times New Roman" w:hAnsi="Times New Roman" w:eastAsia="宋体" w:cs="Times New Roman"/>
                <w:kern w:val="0"/>
                <w:sz w:val="18"/>
                <w:szCs w:val="18"/>
              </w:rPr>
            </w:pPr>
            <w:r>
              <w:rPr>
                <w:rFonts w:hint="default" w:ascii="Times New Roman" w:hAnsi="Times New Roman" w:eastAsia="宋体" w:cs="Times New Roman"/>
                <w:kern w:val="0"/>
                <w:sz w:val="18"/>
                <w:szCs w:val="18"/>
              </w:rPr>
              <w:t>时间（分钟）</w:t>
            </w:r>
          </w:p>
        </w:tc>
        <w:tc>
          <w:tcPr>
            <w:tcW w:w="1984" w:type="dxa"/>
            <w:tcBorders>
              <w:top w:val="single" w:color="auto" w:sz="4" w:space="0"/>
            </w:tcBorders>
            <w:vAlign w:val="center"/>
          </w:tcPr>
          <w:p w14:paraId="55F6B958">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default" w:ascii="Times New Roman" w:hAnsi="Times New Roman" w:eastAsia="宋体" w:cs="Times New Roman"/>
                <w:kern w:val="0"/>
                <w:sz w:val="18"/>
                <w:szCs w:val="18"/>
              </w:rPr>
            </w:pPr>
            <w:r>
              <w:rPr>
                <w:rFonts w:hint="default" w:ascii="Times New Roman" w:hAnsi="Times New Roman" w:eastAsia="宋体" w:cs="Times New Roman"/>
                <w:kern w:val="0"/>
                <w:sz w:val="18"/>
                <w:szCs w:val="18"/>
              </w:rPr>
              <w:t>流速（ml/min）</w:t>
            </w:r>
          </w:p>
        </w:tc>
        <w:tc>
          <w:tcPr>
            <w:tcW w:w="1984" w:type="dxa"/>
            <w:tcBorders>
              <w:top w:val="single" w:color="auto" w:sz="4" w:space="0"/>
            </w:tcBorders>
            <w:vAlign w:val="center"/>
          </w:tcPr>
          <w:p w14:paraId="75314540">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default" w:ascii="Times New Roman" w:hAnsi="Times New Roman" w:eastAsia="宋体" w:cs="Times New Roman"/>
                <w:kern w:val="0"/>
                <w:sz w:val="18"/>
                <w:szCs w:val="18"/>
              </w:rPr>
            </w:pPr>
            <w:r>
              <w:rPr>
                <w:rFonts w:hint="default" w:ascii="Times New Roman" w:hAnsi="Times New Roman" w:eastAsia="宋体" w:cs="Times New Roman"/>
                <w:kern w:val="0"/>
                <w:sz w:val="18"/>
                <w:szCs w:val="18"/>
              </w:rPr>
              <w:t>流动相A（%）</w:t>
            </w:r>
          </w:p>
        </w:tc>
        <w:tc>
          <w:tcPr>
            <w:tcW w:w="1984" w:type="dxa"/>
            <w:tcBorders>
              <w:top w:val="single" w:color="auto" w:sz="4" w:space="0"/>
            </w:tcBorders>
            <w:vAlign w:val="center"/>
          </w:tcPr>
          <w:p w14:paraId="7E3A91BF">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default" w:ascii="Times New Roman" w:hAnsi="Times New Roman" w:eastAsia="宋体" w:cs="Times New Roman"/>
                <w:kern w:val="0"/>
                <w:sz w:val="18"/>
                <w:szCs w:val="18"/>
              </w:rPr>
            </w:pPr>
            <w:r>
              <w:rPr>
                <w:rFonts w:hint="default" w:ascii="Times New Roman" w:hAnsi="Times New Roman" w:eastAsia="宋体" w:cs="Times New Roman"/>
                <w:kern w:val="0"/>
                <w:sz w:val="18"/>
                <w:szCs w:val="18"/>
              </w:rPr>
              <w:t>流动相B（%）</w:t>
            </w:r>
          </w:p>
        </w:tc>
      </w:tr>
      <w:tr w14:paraId="2F22EA69">
        <w:tblPrEx>
          <w:tblBorders>
            <w:top w:val="none" w:color="auto" w:sz="0" w:space="0"/>
            <w:left w:val="none" w:color="auto" w:sz="0" w:space="0"/>
            <w:bottom w:val="none" w:color="auto" w:sz="0" w:space="0"/>
            <w:right w:val="none" w:color="auto" w:sz="0" w:space="0"/>
            <w:insideH w:val="single" w:color="auto" w:sz="4" w:space="0"/>
            <w:insideV w:val="none" w:color="auto" w:sz="0" w:space="0"/>
          </w:tblBorders>
          <w:tblCellMar>
            <w:top w:w="0" w:type="dxa"/>
            <w:left w:w="108" w:type="dxa"/>
            <w:bottom w:w="0" w:type="dxa"/>
            <w:right w:w="108" w:type="dxa"/>
          </w:tblCellMar>
        </w:tblPrEx>
        <w:trPr>
          <w:trHeight w:val="312" w:hRule="atLeast"/>
          <w:jc w:val="center"/>
        </w:trPr>
        <w:tc>
          <w:tcPr>
            <w:tcW w:w="1984" w:type="dxa"/>
            <w:tcBorders/>
            <w:vAlign w:val="center"/>
          </w:tcPr>
          <w:p w14:paraId="0139184D">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default" w:ascii="Times New Roman" w:hAnsi="Times New Roman" w:eastAsia="宋体" w:cs="Times New Roman"/>
                <w:kern w:val="0"/>
                <w:sz w:val="18"/>
                <w:szCs w:val="18"/>
              </w:rPr>
            </w:pPr>
            <w:r>
              <w:rPr>
                <w:rFonts w:hint="default" w:ascii="Times New Roman" w:hAnsi="Times New Roman" w:eastAsia="宋体" w:cs="Times New Roman"/>
                <w:kern w:val="0"/>
                <w:sz w:val="18"/>
                <w:szCs w:val="18"/>
              </w:rPr>
              <w:t>0~5</w:t>
            </w:r>
          </w:p>
        </w:tc>
        <w:tc>
          <w:tcPr>
            <w:tcW w:w="1984" w:type="dxa"/>
            <w:tcBorders/>
            <w:vAlign w:val="center"/>
          </w:tcPr>
          <w:p w14:paraId="127A37F3">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default" w:ascii="Times New Roman" w:hAnsi="Times New Roman" w:eastAsia="宋体" w:cs="Times New Roman"/>
                <w:kern w:val="0"/>
                <w:sz w:val="18"/>
                <w:szCs w:val="18"/>
              </w:rPr>
            </w:pPr>
            <w:r>
              <w:rPr>
                <w:rFonts w:hint="default" w:ascii="Times New Roman" w:hAnsi="Times New Roman" w:eastAsia="宋体" w:cs="Times New Roman"/>
                <w:kern w:val="0"/>
                <w:sz w:val="18"/>
                <w:szCs w:val="18"/>
              </w:rPr>
              <w:t>0.1→0.2</w:t>
            </w:r>
          </w:p>
        </w:tc>
        <w:tc>
          <w:tcPr>
            <w:tcW w:w="1984" w:type="dxa"/>
            <w:tcBorders/>
            <w:vAlign w:val="center"/>
          </w:tcPr>
          <w:p w14:paraId="0F4D704B">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default" w:ascii="Times New Roman" w:hAnsi="Times New Roman" w:eastAsia="宋体" w:cs="Times New Roman"/>
                <w:kern w:val="0"/>
                <w:sz w:val="18"/>
                <w:szCs w:val="18"/>
              </w:rPr>
            </w:pPr>
            <w:r>
              <w:rPr>
                <w:rFonts w:hint="default" w:ascii="Times New Roman" w:hAnsi="Times New Roman" w:eastAsia="宋体" w:cs="Times New Roman"/>
                <w:kern w:val="0"/>
                <w:sz w:val="18"/>
                <w:szCs w:val="18"/>
              </w:rPr>
              <w:t>5</w:t>
            </w:r>
          </w:p>
        </w:tc>
        <w:tc>
          <w:tcPr>
            <w:tcW w:w="1984" w:type="dxa"/>
            <w:tcBorders/>
            <w:vAlign w:val="center"/>
          </w:tcPr>
          <w:p w14:paraId="3FA16EC2">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default" w:ascii="Times New Roman" w:hAnsi="Times New Roman" w:eastAsia="宋体" w:cs="Times New Roman"/>
                <w:kern w:val="0"/>
                <w:sz w:val="18"/>
                <w:szCs w:val="18"/>
              </w:rPr>
            </w:pPr>
            <w:r>
              <w:rPr>
                <w:rFonts w:hint="default" w:ascii="Times New Roman" w:hAnsi="Times New Roman" w:eastAsia="宋体" w:cs="Times New Roman"/>
                <w:kern w:val="0"/>
                <w:sz w:val="18"/>
                <w:szCs w:val="18"/>
              </w:rPr>
              <w:t>95</w:t>
            </w:r>
          </w:p>
        </w:tc>
      </w:tr>
      <w:tr w14:paraId="56297411">
        <w:tblPrEx>
          <w:tblBorders>
            <w:top w:val="none" w:color="auto" w:sz="0" w:space="0"/>
            <w:left w:val="none" w:color="auto" w:sz="0" w:space="0"/>
            <w:bottom w:val="none" w:color="auto" w:sz="0" w:space="0"/>
            <w:right w:val="none" w:color="auto" w:sz="0" w:space="0"/>
            <w:insideH w:val="single" w:color="auto" w:sz="4" w:space="0"/>
            <w:insideV w:val="none" w:color="auto" w:sz="0" w:space="0"/>
          </w:tblBorders>
          <w:tblCellMar>
            <w:top w:w="0" w:type="dxa"/>
            <w:left w:w="108" w:type="dxa"/>
            <w:bottom w:w="0" w:type="dxa"/>
            <w:right w:w="108" w:type="dxa"/>
          </w:tblCellMar>
        </w:tblPrEx>
        <w:trPr>
          <w:trHeight w:val="312" w:hRule="atLeast"/>
          <w:jc w:val="center"/>
        </w:trPr>
        <w:tc>
          <w:tcPr>
            <w:tcW w:w="1984" w:type="dxa"/>
            <w:tcBorders>
              <w:bottom w:val="single" w:color="auto" w:sz="4" w:space="0"/>
            </w:tcBorders>
            <w:vAlign w:val="center"/>
          </w:tcPr>
          <w:p w14:paraId="4501F5C8">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default" w:ascii="Times New Roman" w:hAnsi="Times New Roman" w:eastAsia="宋体" w:cs="Times New Roman"/>
                <w:kern w:val="0"/>
                <w:sz w:val="18"/>
                <w:szCs w:val="18"/>
              </w:rPr>
            </w:pPr>
            <w:r>
              <w:rPr>
                <w:rFonts w:hint="default" w:ascii="Times New Roman" w:hAnsi="Times New Roman" w:eastAsia="宋体" w:cs="Times New Roman"/>
                <w:kern w:val="0"/>
                <w:sz w:val="18"/>
                <w:szCs w:val="18"/>
              </w:rPr>
              <w:t>5~20</w:t>
            </w:r>
          </w:p>
        </w:tc>
        <w:tc>
          <w:tcPr>
            <w:tcW w:w="1984" w:type="dxa"/>
            <w:tcBorders>
              <w:bottom w:val="single" w:color="auto" w:sz="4" w:space="0"/>
            </w:tcBorders>
            <w:vAlign w:val="center"/>
          </w:tcPr>
          <w:p w14:paraId="19CD09C3">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default" w:ascii="Times New Roman" w:hAnsi="Times New Roman" w:eastAsia="宋体" w:cs="Times New Roman"/>
                <w:kern w:val="0"/>
                <w:sz w:val="18"/>
                <w:szCs w:val="18"/>
              </w:rPr>
            </w:pPr>
            <w:r>
              <w:rPr>
                <w:rFonts w:hint="default" w:ascii="Times New Roman" w:hAnsi="Times New Roman" w:eastAsia="宋体" w:cs="Times New Roman"/>
                <w:kern w:val="0"/>
                <w:sz w:val="18"/>
                <w:szCs w:val="18"/>
              </w:rPr>
              <w:t>0.2</w:t>
            </w:r>
          </w:p>
        </w:tc>
        <w:tc>
          <w:tcPr>
            <w:tcW w:w="1984" w:type="dxa"/>
            <w:tcBorders>
              <w:bottom w:val="single" w:color="auto" w:sz="4" w:space="0"/>
            </w:tcBorders>
            <w:vAlign w:val="center"/>
          </w:tcPr>
          <w:p w14:paraId="1E959798">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default" w:ascii="Times New Roman" w:hAnsi="Times New Roman" w:eastAsia="宋体" w:cs="Times New Roman"/>
                <w:kern w:val="0"/>
                <w:sz w:val="18"/>
                <w:szCs w:val="18"/>
              </w:rPr>
            </w:pPr>
            <w:r>
              <w:rPr>
                <w:rFonts w:hint="default" w:ascii="Times New Roman" w:hAnsi="Times New Roman" w:eastAsia="宋体" w:cs="Times New Roman"/>
                <w:kern w:val="0"/>
                <w:sz w:val="18"/>
                <w:szCs w:val="18"/>
              </w:rPr>
              <w:t>5</w:t>
            </w:r>
          </w:p>
        </w:tc>
        <w:tc>
          <w:tcPr>
            <w:tcW w:w="1984" w:type="dxa"/>
            <w:tcBorders>
              <w:bottom w:val="single" w:color="auto" w:sz="4" w:space="0"/>
            </w:tcBorders>
            <w:vAlign w:val="center"/>
          </w:tcPr>
          <w:p w14:paraId="1F7F340D">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default" w:ascii="Times New Roman" w:hAnsi="Times New Roman" w:eastAsia="宋体" w:cs="Times New Roman"/>
                <w:kern w:val="0"/>
                <w:sz w:val="18"/>
                <w:szCs w:val="18"/>
              </w:rPr>
            </w:pPr>
            <w:r>
              <w:rPr>
                <w:rFonts w:hint="default" w:ascii="Times New Roman" w:hAnsi="Times New Roman" w:eastAsia="宋体" w:cs="Times New Roman"/>
                <w:kern w:val="0"/>
                <w:sz w:val="18"/>
                <w:szCs w:val="18"/>
              </w:rPr>
              <w:t>95</w:t>
            </w:r>
          </w:p>
        </w:tc>
      </w:tr>
    </w:tbl>
    <w:p w14:paraId="69878121">
      <w:pPr>
        <w:keepNext w:val="0"/>
        <w:keepLines w:val="0"/>
        <w:pageBreakBefore w:val="0"/>
        <w:kinsoku/>
        <w:wordWrap/>
        <w:overflowPunct/>
        <w:topLinePunct w:val="0"/>
        <w:autoSpaceDE/>
        <w:autoSpaceDN/>
        <w:bidi w:val="0"/>
        <w:adjustRightInd/>
        <w:snapToGrid/>
        <w:ind w:firstLine="482"/>
        <w:jc w:val="both"/>
        <w:textAlignment w:val="auto"/>
        <w:rPr>
          <w:rFonts w:hint="default" w:ascii="Times New Roman" w:hAnsi="Times New Roman" w:eastAsia="宋体" w:cs="Times New Roman"/>
          <w:color w:val="000000"/>
          <w:sz w:val="21"/>
          <w:szCs w:val="21"/>
        </w:rPr>
      </w:pPr>
      <w:r>
        <w:rPr>
          <w:rFonts w:hint="default" w:ascii="Times New Roman" w:hAnsi="Times New Roman" w:eastAsia="宋体" w:cs="Times New Roman"/>
          <w:b/>
          <w:sz w:val="21"/>
          <w:szCs w:val="21"/>
        </w:rPr>
        <w:t>对照品溶液的制备</w:t>
      </w:r>
      <w:r>
        <w:rPr>
          <w:rFonts w:hint="eastAsia" w:cs="Times New Roman"/>
          <w:b/>
          <w:sz w:val="21"/>
          <w:szCs w:val="21"/>
          <w:lang w:val="en-US" w:eastAsia="zh-CN"/>
        </w:rPr>
        <w:t xml:space="preserve"> </w:t>
      </w:r>
      <w:r>
        <w:rPr>
          <w:rFonts w:hint="default" w:ascii="Times New Roman" w:hAnsi="Times New Roman" w:eastAsia="宋体" w:cs="Times New Roman"/>
          <w:sz w:val="21"/>
          <w:szCs w:val="21"/>
        </w:rPr>
        <w:t>取没食子酸对照品适量，精密称定，加50%甲醇制成每1ml含10μg的溶液，作为对照品溶液。</w:t>
      </w:r>
    </w:p>
    <w:p w14:paraId="0E71B7AB">
      <w:pPr>
        <w:keepNext w:val="0"/>
        <w:keepLines w:val="0"/>
        <w:pageBreakBefore w:val="0"/>
        <w:kinsoku/>
        <w:wordWrap/>
        <w:overflowPunct/>
        <w:topLinePunct w:val="0"/>
        <w:autoSpaceDE/>
        <w:autoSpaceDN/>
        <w:bidi w:val="0"/>
        <w:adjustRightInd/>
        <w:snapToGrid/>
        <w:ind w:firstLine="482"/>
        <w:jc w:val="both"/>
        <w:textAlignment w:val="auto"/>
        <w:rPr>
          <w:rFonts w:hint="default" w:ascii="Times New Roman" w:hAnsi="Times New Roman" w:eastAsia="宋体" w:cs="Times New Roman"/>
          <w:sz w:val="21"/>
          <w:szCs w:val="21"/>
        </w:rPr>
      </w:pPr>
      <w:r>
        <w:rPr>
          <w:rFonts w:hint="default" w:ascii="Times New Roman" w:hAnsi="Times New Roman" w:eastAsia="宋体" w:cs="Times New Roman"/>
          <w:b/>
          <w:sz w:val="21"/>
          <w:szCs w:val="21"/>
        </w:rPr>
        <w:t>供试品溶液的制备</w:t>
      </w:r>
      <w:r>
        <w:rPr>
          <w:rFonts w:hint="default" w:ascii="Times New Roman" w:hAnsi="Times New Roman" w:eastAsia="宋体" w:cs="Times New Roman"/>
          <w:sz w:val="21"/>
          <w:szCs w:val="21"/>
        </w:rPr>
        <w:t xml:space="preserve"> 取本品适量，研细，取约1.0g，精密称定，置锥形瓶中，精密加入50%甲醇20ml，称定重量，加热回流20分钟，放冷，再称定重量，用50%甲醇补足减失的重量，摇匀，滤过，取续滤液，即得。</w:t>
      </w:r>
    </w:p>
    <w:p w14:paraId="3B9FC515">
      <w:pPr>
        <w:keepNext w:val="0"/>
        <w:keepLines w:val="0"/>
        <w:pageBreakBefore w:val="0"/>
        <w:kinsoku/>
        <w:wordWrap/>
        <w:overflowPunct/>
        <w:topLinePunct w:val="0"/>
        <w:autoSpaceDE/>
        <w:autoSpaceDN/>
        <w:bidi w:val="0"/>
        <w:adjustRightInd/>
        <w:snapToGrid/>
        <w:ind w:firstLine="482"/>
        <w:jc w:val="both"/>
        <w:textAlignment w:val="auto"/>
        <w:rPr>
          <w:rFonts w:hint="default" w:ascii="Times New Roman" w:hAnsi="Times New Roman" w:eastAsia="宋体" w:cs="Times New Roman"/>
          <w:sz w:val="21"/>
          <w:szCs w:val="21"/>
        </w:rPr>
      </w:pPr>
      <w:r>
        <w:rPr>
          <w:rFonts w:hint="default" w:ascii="Times New Roman" w:hAnsi="Times New Roman" w:eastAsia="宋体" w:cs="Times New Roman"/>
          <w:b/>
          <w:sz w:val="21"/>
          <w:szCs w:val="21"/>
        </w:rPr>
        <w:t>测定法</w:t>
      </w:r>
      <w:r>
        <w:rPr>
          <w:rFonts w:hint="eastAsia" w:cs="Times New Roman"/>
          <w:b/>
          <w:color w:val="000000"/>
          <w:sz w:val="21"/>
          <w:szCs w:val="21"/>
          <w:lang w:val="en-US" w:eastAsia="zh-CN"/>
        </w:rPr>
        <w:t xml:space="preserve"> </w:t>
      </w:r>
      <w:r>
        <w:rPr>
          <w:rFonts w:hint="default" w:ascii="Times New Roman" w:hAnsi="Times New Roman" w:eastAsia="宋体" w:cs="Times New Roman"/>
          <w:color w:val="000000"/>
          <w:sz w:val="21"/>
          <w:szCs w:val="21"/>
        </w:rPr>
        <w:t>分别精密吸取对</w:t>
      </w:r>
      <w:r>
        <w:rPr>
          <w:rFonts w:hint="default" w:ascii="Times New Roman" w:hAnsi="Times New Roman" w:eastAsia="宋体" w:cs="Times New Roman"/>
          <w:sz w:val="21"/>
          <w:szCs w:val="21"/>
        </w:rPr>
        <w:t>照品溶液及供试品溶液各2</w:t>
      </w:r>
      <w:r>
        <w:rPr>
          <w:rFonts w:hint="default" w:ascii="Times New Roman" w:hAnsi="Times New Roman" w:eastAsia="宋体" w:cs="Times New Roman"/>
          <w:sz w:val="21"/>
          <w:szCs w:val="21"/>
        </w:rPr>
        <w:sym w:font="Symbol" w:char="F06D"/>
      </w:r>
      <w:r>
        <w:rPr>
          <w:rFonts w:hint="default" w:ascii="Times New Roman" w:hAnsi="Times New Roman" w:eastAsia="宋体" w:cs="Times New Roman"/>
          <w:sz w:val="21"/>
          <w:szCs w:val="21"/>
        </w:rPr>
        <w:t>l，注入液相色谱仪，测定，即得。</w:t>
      </w:r>
    </w:p>
    <w:p w14:paraId="7B5885AD">
      <w:pPr>
        <w:keepNext w:val="0"/>
        <w:keepLines w:val="0"/>
        <w:pageBreakBefore w:val="0"/>
        <w:kinsoku/>
        <w:wordWrap/>
        <w:overflowPunct/>
        <w:topLinePunct w:val="0"/>
        <w:autoSpaceDE/>
        <w:autoSpaceDN/>
        <w:bidi w:val="0"/>
        <w:adjustRightInd/>
        <w:snapToGrid/>
        <w:ind w:firstLine="480"/>
        <w:jc w:val="both"/>
        <w:textAlignment w:val="auto"/>
        <w:rPr>
          <w:rFonts w:hint="default" w:ascii="Times New Roman" w:hAnsi="Times New Roman" w:eastAsia="宋体" w:cs="Times New Roman"/>
          <w:sz w:val="21"/>
          <w:szCs w:val="21"/>
          <w:highlight w:val="red"/>
        </w:rPr>
      </w:pPr>
      <w:r>
        <w:rPr>
          <w:rFonts w:hint="default" w:ascii="Times New Roman" w:hAnsi="Times New Roman" w:eastAsia="宋体" w:cs="Times New Roman"/>
          <w:sz w:val="21"/>
          <w:szCs w:val="21"/>
        </w:rPr>
        <w:t>本品每1g含没食子酸（C</w:t>
      </w:r>
      <w:r>
        <w:rPr>
          <w:rFonts w:hint="default" w:ascii="Times New Roman" w:hAnsi="Times New Roman" w:eastAsia="宋体" w:cs="Times New Roman"/>
          <w:sz w:val="21"/>
          <w:szCs w:val="21"/>
          <w:vertAlign w:val="subscript"/>
        </w:rPr>
        <w:t>7</w:t>
      </w:r>
      <w:r>
        <w:rPr>
          <w:rFonts w:hint="default" w:ascii="Times New Roman" w:hAnsi="Times New Roman" w:eastAsia="宋体" w:cs="Times New Roman"/>
          <w:sz w:val="21"/>
          <w:szCs w:val="21"/>
        </w:rPr>
        <w:t>H</w:t>
      </w:r>
      <w:r>
        <w:rPr>
          <w:rFonts w:hint="default" w:ascii="Times New Roman" w:hAnsi="Times New Roman" w:eastAsia="宋体" w:cs="Times New Roman"/>
          <w:sz w:val="21"/>
          <w:szCs w:val="21"/>
          <w:vertAlign w:val="subscript"/>
        </w:rPr>
        <w:t>6</w:t>
      </w:r>
      <w:r>
        <w:rPr>
          <w:rFonts w:hint="default" w:ascii="Times New Roman" w:hAnsi="Times New Roman" w:eastAsia="宋体" w:cs="Times New Roman"/>
          <w:sz w:val="21"/>
          <w:szCs w:val="21"/>
        </w:rPr>
        <w:t>O</w:t>
      </w:r>
      <w:r>
        <w:rPr>
          <w:rFonts w:hint="default" w:ascii="Times New Roman" w:hAnsi="Times New Roman" w:eastAsia="宋体" w:cs="Times New Roman"/>
          <w:sz w:val="21"/>
          <w:szCs w:val="21"/>
          <w:vertAlign w:val="subscript"/>
        </w:rPr>
        <w:t>5</w:t>
      </w:r>
      <w:r>
        <w:rPr>
          <w:rFonts w:hint="default" w:ascii="Times New Roman" w:hAnsi="Times New Roman" w:eastAsia="宋体" w:cs="Times New Roman"/>
          <w:sz w:val="21"/>
          <w:szCs w:val="21"/>
        </w:rPr>
        <w:t>）应为0.66mg～1.22mg。</w:t>
      </w:r>
    </w:p>
    <w:p w14:paraId="0E0D2FE4">
      <w:pPr>
        <w:keepNext w:val="0"/>
        <w:keepLines w:val="0"/>
        <w:pageBreakBefore w:val="0"/>
        <w:kinsoku/>
        <w:wordWrap/>
        <w:overflowPunct/>
        <w:topLinePunct w:val="0"/>
        <w:autoSpaceDE/>
        <w:autoSpaceDN/>
        <w:bidi w:val="0"/>
        <w:adjustRightInd/>
        <w:snapToGrid/>
        <w:ind w:firstLine="482"/>
        <w:jc w:val="both"/>
        <w:textAlignment w:val="auto"/>
        <w:rPr>
          <w:rFonts w:hint="default" w:ascii="Times New Roman" w:hAnsi="Times New Roman" w:eastAsia="宋体" w:cs="Times New Roman"/>
          <w:kern w:val="0"/>
          <w:sz w:val="21"/>
          <w:szCs w:val="21"/>
          <w:lang w:eastAsia="zh-CN"/>
        </w:rPr>
      </w:pPr>
      <w:r>
        <w:rPr>
          <w:rFonts w:hint="default" w:ascii="Times New Roman" w:hAnsi="Times New Roman" w:eastAsia="宋体" w:cs="Times New Roman"/>
          <w:b/>
          <w:sz w:val="21"/>
          <w:szCs w:val="21"/>
        </w:rPr>
        <w:t>【规格】</w:t>
      </w:r>
      <w:r>
        <w:rPr>
          <w:rFonts w:hint="default" w:ascii="Times New Roman" w:hAnsi="Times New Roman" w:eastAsia="宋体" w:cs="Times New Roman"/>
          <w:sz w:val="21"/>
          <w:szCs w:val="21"/>
        </w:rPr>
        <w:t xml:space="preserve"> </w:t>
      </w:r>
      <w:r>
        <w:rPr>
          <w:rFonts w:hint="default" w:ascii="Times New Roman" w:hAnsi="Times New Roman" w:eastAsia="宋体" w:cs="Times New Roman"/>
          <w:kern w:val="0"/>
          <w:sz w:val="21"/>
          <w:szCs w:val="21"/>
        </w:rPr>
        <w:t>每1g配方颗粒相当于饮片12.0g</w:t>
      </w:r>
    </w:p>
    <w:p w14:paraId="47C6707D">
      <w:pPr>
        <w:keepNext w:val="0"/>
        <w:keepLines w:val="0"/>
        <w:pageBreakBefore w:val="0"/>
        <w:kinsoku/>
        <w:wordWrap/>
        <w:overflowPunct/>
        <w:topLinePunct w:val="0"/>
        <w:autoSpaceDE/>
        <w:autoSpaceDN/>
        <w:bidi w:val="0"/>
        <w:adjustRightInd/>
        <w:snapToGrid/>
        <w:ind w:firstLine="482"/>
        <w:jc w:val="both"/>
        <w:textAlignment w:val="auto"/>
        <w:rPr>
          <w:rFonts w:hint="default" w:ascii="Times New Roman" w:hAnsi="Times New Roman" w:eastAsia="宋体" w:cs="Times New Roman"/>
          <w:color w:val="000000"/>
          <w:kern w:val="0"/>
          <w:sz w:val="21"/>
          <w:szCs w:val="21"/>
          <w:lang w:eastAsia="zh-CN"/>
        </w:rPr>
      </w:pPr>
      <w:r>
        <w:rPr>
          <w:rFonts w:hint="default" w:ascii="Times New Roman" w:hAnsi="Times New Roman" w:eastAsia="宋体" w:cs="Times New Roman"/>
          <w:b/>
          <w:sz w:val="21"/>
          <w:szCs w:val="21"/>
        </w:rPr>
        <w:t>【贮藏】</w:t>
      </w:r>
      <w:r>
        <w:rPr>
          <w:rFonts w:hint="default" w:ascii="Times New Roman" w:hAnsi="Times New Roman" w:eastAsia="宋体" w:cs="Times New Roman"/>
          <w:sz w:val="21"/>
          <w:szCs w:val="21"/>
        </w:rPr>
        <w:t xml:space="preserve"> </w:t>
      </w:r>
      <w:r>
        <w:rPr>
          <w:rFonts w:hint="default" w:ascii="Times New Roman" w:hAnsi="Times New Roman" w:eastAsia="宋体" w:cs="Times New Roman"/>
          <w:color w:val="000000"/>
          <w:kern w:val="0"/>
          <w:sz w:val="21"/>
          <w:szCs w:val="21"/>
        </w:rPr>
        <w:t>密封</w:t>
      </w:r>
      <w:r>
        <w:rPr>
          <w:rFonts w:hint="default" w:ascii="Times New Roman" w:hAnsi="Times New Roman" w:eastAsia="宋体" w:cs="Times New Roman"/>
          <w:color w:val="000000"/>
          <w:kern w:val="0"/>
          <w:sz w:val="21"/>
          <w:szCs w:val="21"/>
          <w:lang w:eastAsia="zh-CN"/>
        </w:rPr>
        <w:t>。</w:t>
      </w:r>
    </w:p>
    <w:sectPr>
      <w:headerReference r:id="rId7" w:type="first"/>
      <w:footerReference r:id="rId10" w:type="first"/>
      <w:headerReference r:id="rId5" w:type="default"/>
      <w:footerReference r:id="rId8" w:type="default"/>
      <w:headerReference r:id="rId6" w:type="even"/>
      <w:footerReference r:id="rId9" w:type="even"/>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20"/>
      </w:pPr>
      <w:r>
        <w:separator/>
      </w:r>
    </w:p>
  </w:endnote>
  <w:endnote w:type="continuationSeparator" w:id="1">
    <w:p>
      <w:pPr>
        <w:spacing w:line="240" w:lineRule="auto"/>
        <w:ind w:firstLine="4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4D"/>
    <w:family w:val="roman"/>
    <w:pitch w:val="default"/>
    <w:sig w:usb0="E0002EFF" w:usb1="C000785B" w:usb2="00000009" w:usb3="00000000" w:csb0="400001FF" w:csb1="FFFF0000"/>
  </w:font>
  <w:font w:name="宋体">
    <w:panose1 w:val="02010600030101010101"/>
    <w:charset w:val="80"/>
    <w:family w:val="swiss"/>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CDACE4">
    <w:pPr>
      <w:pStyle w:val="7"/>
      <w:tabs>
        <w:tab w:val="left" w:pos="2947"/>
        <w:tab w:val="clear" w:pos="4153"/>
      </w:tabs>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2AD4B1">
    <w:pPr>
      <w:pStyle w:val="7"/>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4FF769">
    <w:pPr>
      <w:pStyle w:val="7"/>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420"/>
      </w:pPr>
      <w:r>
        <w:separator/>
      </w:r>
    </w:p>
  </w:footnote>
  <w:footnote w:type="continuationSeparator" w:id="1">
    <w:p>
      <w:pPr>
        <w:spacing w:line="360" w:lineRule="auto"/>
        <w:ind w:firstLine="42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D36271">
    <w:pPr>
      <w:pStyle w:val="8"/>
      <w:pBdr>
        <w:bottom w:val="none" w:color="auto" w:sz="0" w:space="1"/>
      </w:pBdr>
      <w:ind w:firstLine="360"/>
      <w:rPr>
        <w:u w:val="none"/>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C70097">
    <w:pPr>
      <w:pStyle w:val="8"/>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4AB1C6">
    <w:pPr>
      <w:pStyle w:val="8"/>
      <w:ind w:firstLine="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2ZmMmNkZWYwMmY2M2MxY2VjOWU3ODQ1ZTNhZDRhNGYifQ=="/>
  </w:docVars>
  <w:rsids>
    <w:rsidRoot w:val="00E800F7"/>
    <w:rsid w:val="00773BC1"/>
    <w:rsid w:val="00900EEA"/>
    <w:rsid w:val="00E800F7"/>
    <w:rsid w:val="00ED6C3E"/>
    <w:rsid w:val="3E4A7B28"/>
    <w:rsid w:val="46085BEE"/>
    <w:rsid w:val="4E871903"/>
    <w:rsid w:val="59030393"/>
    <w:rsid w:val="5FB207AA"/>
    <w:rsid w:val="65297A59"/>
    <w:rsid w:val="679433F7"/>
    <w:rsid w:val="76804FF7"/>
    <w:rsid w:val="78CE1847"/>
    <w:rsid w:val="7A0D129F"/>
    <w:rsid w:val="7AF26773"/>
    <w:rsid w:val="7D5B1A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0" w:semiHidden="0" w:name="header"/>
    <w:lsdException w:qFormat="1" w:uiPriority="99"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99"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napToGrid/>
      <w:spacing w:line="360" w:lineRule="auto"/>
      <w:ind w:firstLine="560" w:firstLineChars="200"/>
      <w:jc w:val="both"/>
    </w:pPr>
    <w:rPr>
      <w:rFonts w:ascii="Times New Roman" w:hAnsi="Times New Roman" w:eastAsia="宋体" w:cs="Times New Roman"/>
      <w:kern w:val="0"/>
      <w:sz w:val="21"/>
      <w:szCs w:val="21"/>
      <w:lang w:val="en-US" w:eastAsia="zh-CN" w:bidi="ar-SA"/>
    </w:rPr>
  </w:style>
  <w:style w:type="paragraph" w:styleId="2">
    <w:name w:val="heading 1"/>
    <w:basedOn w:val="1"/>
    <w:next w:val="1"/>
    <w:qFormat/>
    <w:uiPriority w:val="9"/>
    <w:pPr>
      <w:tabs>
        <w:tab w:val="left" w:pos="2895"/>
      </w:tabs>
      <w:snapToGrid w:val="0"/>
      <w:jc w:val="center"/>
      <w:outlineLvl w:val="0"/>
    </w:pPr>
    <w:rPr>
      <w:rFonts w:eastAsia="黑体" w:cs="黑体"/>
      <w:bCs/>
      <w:sz w:val="28"/>
      <w:szCs w:val="28"/>
    </w:rPr>
  </w:style>
  <w:style w:type="paragraph" w:styleId="3">
    <w:name w:val="heading 2"/>
    <w:basedOn w:val="1"/>
    <w:next w:val="1"/>
    <w:unhideWhenUsed/>
    <w:qFormat/>
    <w:uiPriority w:val="9"/>
    <w:pPr>
      <w:jc w:val="center"/>
      <w:outlineLvl w:val="1"/>
    </w:pPr>
    <w:rPr>
      <w:bCs/>
      <w:kern w:val="0"/>
      <w:szCs w:val="24"/>
    </w:rPr>
  </w:style>
  <w:style w:type="paragraph" w:styleId="4">
    <w:name w:val="heading 3"/>
    <w:basedOn w:val="1"/>
    <w:next w:val="1"/>
    <w:unhideWhenUsed/>
    <w:qFormat/>
    <w:uiPriority w:val="9"/>
    <w:pPr>
      <w:snapToGrid w:val="0"/>
      <w:ind w:firstLine="0" w:firstLineChars="0"/>
      <w:jc w:val="center"/>
      <w:outlineLvl w:val="2"/>
    </w:pPr>
    <w:rPr>
      <w:b/>
      <w:bCs/>
      <w:color w:val="000000"/>
      <w:sz w:val="24"/>
      <w:szCs w:val="24"/>
    </w:rPr>
  </w:style>
  <w:style w:type="paragraph" w:styleId="5">
    <w:name w:val="heading 4"/>
    <w:basedOn w:val="1"/>
    <w:next w:val="1"/>
    <w:unhideWhenUsed/>
    <w:qFormat/>
    <w:uiPriority w:val="9"/>
    <w:pPr>
      <w:widowControl/>
      <w:ind w:firstLine="0" w:firstLineChars="0"/>
      <w:jc w:val="center"/>
      <w:outlineLvl w:val="3"/>
    </w:pPr>
    <w:rPr>
      <w:rFonts w:ascii="Times New Roman" w:hAnsi="Times New Roman"/>
      <w:color w:val="000000"/>
      <w:sz w:val="18"/>
      <w:szCs w:val="18"/>
    </w:rPr>
  </w:style>
  <w:style w:type="character" w:default="1" w:styleId="10">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6">
    <w:name w:val="Balloon Text"/>
    <w:basedOn w:val="1"/>
    <w:link w:val="13"/>
    <w:semiHidden/>
    <w:unhideWhenUsed/>
    <w:qFormat/>
    <w:uiPriority w:val="99"/>
    <w:pPr>
      <w:spacing w:line="240" w:lineRule="auto"/>
    </w:pPr>
    <w:rPr>
      <w:sz w:val="18"/>
      <w:szCs w:val="18"/>
    </w:rPr>
  </w:style>
  <w:style w:type="paragraph" w:styleId="7">
    <w:name w:val="footer"/>
    <w:basedOn w:val="1"/>
    <w:link w:val="12"/>
    <w:semiHidden/>
    <w:unhideWhenUsed/>
    <w:qFormat/>
    <w:uiPriority w:val="99"/>
    <w:pPr>
      <w:tabs>
        <w:tab w:val="center" w:pos="4153"/>
        <w:tab w:val="right" w:pos="8306"/>
      </w:tabs>
      <w:snapToGrid w:val="0"/>
      <w:spacing w:line="240" w:lineRule="auto"/>
    </w:pPr>
    <w:rPr>
      <w:rFonts w:asciiTheme="minorHAnsi" w:hAnsiTheme="minorHAnsi" w:eastAsiaTheme="minorEastAsia" w:cstheme="minorBidi"/>
      <w:sz w:val="18"/>
      <w:szCs w:val="18"/>
    </w:rPr>
  </w:style>
  <w:style w:type="paragraph" w:styleId="8">
    <w:name w:val="header"/>
    <w:basedOn w:val="1"/>
    <w:link w:val="11"/>
    <w:unhideWhenUsed/>
    <w:qFormat/>
    <w:uiPriority w:val="0"/>
    <w:pPr>
      <w:tabs>
        <w:tab w:val="center" w:pos="4153"/>
        <w:tab w:val="right" w:pos="8306"/>
      </w:tabs>
      <w:snapToGrid w:val="0"/>
      <w:spacing w:line="240" w:lineRule="auto"/>
      <w:jc w:val="center"/>
    </w:pPr>
    <w:rPr>
      <w:rFonts w:asciiTheme="minorHAnsi" w:hAnsiTheme="minorHAnsi" w:eastAsiaTheme="minorEastAsia" w:cstheme="minorBidi"/>
      <w:sz w:val="18"/>
      <w:szCs w:val="18"/>
    </w:rPr>
  </w:style>
  <w:style w:type="character" w:customStyle="1" w:styleId="11">
    <w:name w:val="页眉 Char"/>
    <w:basedOn w:val="10"/>
    <w:link w:val="8"/>
    <w:qFormat/>
    <w:uiPriority w:val="0"/>
    <w:rPr>
      <w:rFonts w:asciiTheme="minorHAnsi" w:hAnsiTheme="minorHAnsi" w:eastAsiaTheme="minorEastAsia" w:cstheme="minorBidi"/>
      <w:sz w:val="18"/>
      <w:szCs w:val="18"/>
    </w:rPr>
  </w:style>
  <w:style w:type="character" w:customStyle="1" w:styleId="12">
    <w:name w:val="页脚 Char"/>
    <w:basedOn w:val="10"/>
    <w:link w:val="7"/>
    <w:semiHidden/>
    <w:qFormat/>
    <w:uiPriority w:val="99"/>
    <w:rPr>
      <w:rFonts w:asciiTheme="minorHAnsi" w:hAnsiTheme="minorHAnsi" w:eastAsiaTheme="minorEastAsia" w:cstheme="minorBidi"/>
      <w:sz w:val="18"/>
      <w:szCs w:val="18"/>
    </w:rPr>
  </w:style>
  <w:style w:type="character" w:customStyle="1" w:styleId="13">
    <w:name w:val="批注框文本 Char"/>
    <w:basedOn w:val="10"/>
    <w:link w:val="6"/>
    <w:semiHidden/>
    <w:qFormat/>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image" Target="media/image1.png"/><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4</Pages>
  <Words>2281</Words>
  <Characters>2850</Characters>
  <Lines>21</Lines>
  <Paragraphs>5</Paragraphs>
  <TotalTime>10</TotalTime>
  <ScaleCrop>false</ScaleCrop>
  <LinksUpToDate>false</LinksUpToDate>
  <CharactersWithSpaces>2892</CharactersWithSpaces>
  <Application>WPS Office_12.1.0.17857_F1E327BC-269C-435d-A152-05C5408002CA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2024-07-04T00:28:00Z</dcterms:created>
  <dc:creator>97776</dc:creator>
  <cp:lastModifiedBy>爱迪生1990</cp:lastModifiedBy>
  <dcterms:modified xsi:type="dcterms:W3CDTF">2024-09-13T10:01:36Z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2052-12.1.0.17857</vt:lpwstr>
  </property>
  <property fmtid="{D5CDD505-2E9C-101B-9397-08002B2CF9AE}" pid="3" name="ICV">
    <vt:lpwstr>1FAB491F19AD427DB45C2EFB61C31BA0_12</vt:lpwstr>
  </property>
</Properties>
</file>